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Extensions/webExtension1.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eastAsia="方正小标宋简体"/>
          <w:color w:val="000000"/>
          <w:sz w:val="72"/>
          <w:szCs w:val="72"/>
        </w:rPr>
      </w:pPr>
      <w:bookmarkStart w:id="0" w:name="_Toc15306267"/>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spacing w:line="600" w:lineRule="exact"/>
        <w:jc w:val="center"/>
        <w:outlineLvl w:val="0"/>
        <w:rPr>
          <w:rFonts w:eastAsia="方正小标宋简体"/>
          <w:color w:val="000000"/>
          <w:sz w:val="72"/>
          <w:szCs w:val="72"/>
        </w:rPr>
      </w:pPr>
    </w:p>
    <w:p>
      <w:pPr>
        <w:adjustRightInd w:val="0"/>
        <w:snapToGrid w:val="0"/>
        <w:spacing w:line="360" w:lineRule="auto"/>
        <w:jc w:val="center"/>
        <w:outlineLvl w:val="0"/>
        <w:rPr>
          <w:rFonts w:eastAsia="方正小标宋简体"/>
          <w:b/>
          <w:color w:val="000000"/>
          <w:sz w:val="52"/>
          <w:szCs w:val="52"/>
        </w:rPr>
      </w:pPr>
      <w:bookmarkStart w:id="1" w:name="_Toc15377425"/>
      <w:bookmarkStart w:id="2" w:name="_Toc15378441"/>
      <w:bookmarkStart w:id="3" w:name="_Toc15396597"/>
      <w:bookmarkStart w:id="4" w:name="_Toc15377193"/>
      <w:bookmarkStart w:id="5" w:name="_Toc15396475"/>
      <w:r>
        <w:rPr>
          <w:rFonts w:eastAsia="方正小标宋简体"/>
          <w:b/>
          <w:color w:val="000000"/>
          <w:sz w:val="52"/>
          <w:szCs w:val="52"/>
        </w:rPr>
        <w:t>2020年度</w:t>
      </w:r>
      <w:bookmarkEnd w:id="0"/>
      <w:bookmarkEnd w:id="1"/>
      <w:bookmarkEnd w:id="2"/>
      <w:bookmarkEnd w:id="3"/>
      <w:bookmarkEnd w:id="4"/>
      <w:bookmarkEnd w:id="5"/>
      <w:bookmarkStart w:id="6" w:name="_Toc15396476"/>
      <w:bookmarkStart w:id="7" w:name="_Toc15378442"/>
      <w:bookmarkStart w:id="8" w:name="_Toc15396598"/>
      <w:bookmarkStart w:id="9" w:name="_Toc15377426"/>
      <w:bookmarkStart w:id="10" w:name="_Toc15377194"/>
      <w:bookmarkStart w:id="11" w:name="_Toc15306268"/>
      <w:r>
        <w:rPr>
          <w:rFonts w:eastAsia="方正小标宋简体"/>
          <w:b/>
          <w:color w:val="000000"/>
          <w:sz w:val="52"/>
          <w:szCs w:val="52"/>
        </w:rPr>
        <w:t>泸县县委巡察工作领导小组办公室部门决算</w:t>
      </w:r>
      <w:bookmarkEnd w:id="6"/>
      <w:bookmarkEnd w:id="7"/>
      <w:bookmarkEnd w:id="8"/>
      <w:bookmarkEnd w:id="9"/>
      <w:bookmarkEnd w:id="10"/>
      <w:bookmarkEnd w:id="11"/>
    </w:p>
    <w:p>
      <w:pPr>
        <w:widowControl/>
        <w:spacing w:line="578" w:lineRule="exact"/>
        <w:jc w:val="center"/>
        <w:rPr>
          <w:rFonts w:eastAsia="方正小标宋简体"/>
          <w:color w:val="000000"/>
          <w:sz w:val="44"/>
          <w:szCs w:val="44"/>
        </w:rPr>
        <w:sectPr>
          <w:footerReference r:id="rId6" w:type="first"/>
          <w:headerReference r:id="rId3" w:type="default"/>
          <w:footerReference r:id="rId4" w:type="default"/>
          <w:footerReference r:id="rId5" w:type="even"/>
          <w:pgSz w:w="11906" w:h="16838"/>
          <w:pgMar w:top="2098" w:right="1474" w:bottom="1985" w:left="1588" w:header="851" w:footer="1418" w:gutter="0"/>
          <w:pgNumType w:start="1"/>
          <w:cols w:space="425" w:num="1"/>
          <w:titlePg/>
          <w:docGrid w:type="lines" w:linePitch="312" w:charSpace="0"/>
        </w:sectPr>
      </w:pPr>
    </w:p>
    <w:p>
      <w:pPr>
        <w:widowControl/>
        <w:spacing w:line="578" w:lineRule="exact"/>
        <w:jc w:val="center"/>
        <w:rPr>
          <w:rFonts w:eastAsia="方正小标宋简体"/>
          <w:b/>
          <w:color w:val="000000"/>
          <w:sz w:val="44"/>
          <w:szCs w:val="44"/>
        </w:rPr>
      </w:pPr>
      <w:r>
        <w:rPr>
          <w:rFonts w:eastAsia="方正小标宋简体"/>
          <w:b/>
          <w:color w:val="000000"/>
          <w:sz w:val="44"/>
          <w:szCs w:val="44"/>
        </w:rPr>
        <w:t>目  录</w:t>
      </w:r>
    </w:p>
    <w:p>
      <w:pPr>
        <w:widowControl/>
        <w:spacing w:line="578" w:lineRule="exact"/>
        <w:jc w:val="center"/>
        <w:rPr>
          <w:rFonts w:eastAsia="黑体"/>
          <w:sz w:val="28"/>
          <w:szCs w:val="28"/>
        </w:rPr>
      </w:pPr>
    </w:p>
    <w:p>
      <w:pPr>
        <w:pStyle w:val="5"/>
        <w:adjustRightInd w:val="0"/>
        <w:snapToGrid w:val="0"/>
        <w:spacing w:beforeLines="0" w:line="578" w:lineRule="exact"/>
        <w:ind w:firstLine="1956" w:firstLineChars="609"/>
        <w:outlineLvl w:val="2"/>
        <w:rPr>
          <w:rFonts w:ascii="Times New Roman" w:eastAsia="方正仿宋简体"/>
          <w:b/>
          <w:bCs/>
          <w:color w:val="000000"/>
          <w:sz w:val="32"/>
          <w:szCs w:val="32"/>
        </w:rPr>
      </w:pPr>
      <w:r>
        <w:rPr>
          <w:rFonts w:ascii="Times New Roman" w:eastAsia="方正仿宋简体"/>
          <w:b/>
          <w:bCs/>
          <w:color w:val="000000"/>
          <w:sz w:val="32"/>
          <w:szCs w:val="32"/>
        </w:rPr>
        <w:t>公开时间：2021年11月26日</w:t>
      </w:r>
    </w:p>
    <w:p>
      <w:pPr>
        <w:pStyle w:val="5"/>
        <w:adjustRightInd w:val="0"/>
        <w:snapToGrid w:val="0"/>
        <w:spacing w:beforeLines="0" w:line="578" w:lineRule="exact"/>
        <w:ind w:firstLine="1956" w:firstLineChars="609"/>
        <w:outlineLvl w:val="2"/>
        <w:rPr>
          <w:rFonts w:ascii="Times New Roman" w:eastAsia="方正仿宋简体"/>
          <w:b/>
          <w:bCs/>
          <w:color w:val="000000"/>
          <w:sz w:val="32"/>
          <w:szCs w:val="32"/>
        </w:rPr>
      </w:pP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小标宋简体"/>
          <w:b/>
          <w:sz w:val="32"/>
          <w:szCs w:val="32"/>
        </w:rPr>
        <w:t>第一部分  部门概况</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一、基本职能及主要工作</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二、机构设置</w:t>
      </w: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小标宋简体"/>
          <w:b/>
          <w:sz w:val="32"/>
          <w:szCs w:val="32"/>
        </w:rPr>
        <w:t>第二部分  度部门决算情况说明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一、收入支出决算总体情况说明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二、收入决算情况说明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三、支出决算情况说明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四、财政拨款收入支出决算总体情况说明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五、一般公共预算财政拨款支出决算情况说明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六、一般公共预算财政拨款基本支出决算情况说明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七、“三公”经费财政拨款支出决算情况说明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八、政府性基金预算支出决算情况说明</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九、 国有资本经营预算支出决算情况说明</w:t>
      </w:r>
    </w:p>
    <w:p>
      <w:pPr>
        <w:adjustRightInd w:val="0"/>
        <w:snapToGrid w:val="0"/>
        <w:spacing w:line="578" w:lineRule="exact"/>
        <w:ind w:firstLine="643" w:firstLineChars="200"/>
        <w:jc w:val="left"/>
        <w:rPr>
          <w:rFonts w:eastAsia="方正黑体简体"/>
          <w:b/>
          <w:sz w:val="32"/>
          <w:szCs w:val="32"/>
        </w:rPr>
      </w:pPr>
      <w:r>
        <w:rPr>
          <w:rFonts w:eastAsia="方正黑体简体"/>
          <w:b/>
          <w:sz w:val="32"/>
          <w:szCs w:val="32"/>
        </w:rPr>
        <w:t>十、其他重要事项的情况说明</w:t>
      </w:r>
      <w:r>
        <w:rPr>
          <w:rFonts w:eastAsia="方正黑体简体"/>
          <w:b/>
          <w:sz w:val="32"/>
          <w:szCs w:val="32"/>
        </w:rPr>
        <w:tab/>
      </w: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小标宋简体"/>
          <w:b/>
          <w:sz w:val="32"/>
          <w:szCs w:val="32"/>
        </w:rPr>
        <w:t>第三部分 名词解释</w:t>
      </w: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小标宋简体"/>
          <w:b/>
          <w:sz w:val="32"/>
          <w:szCs w:val="32"/>
        </w:rPr>
        <w:t>第四部分 附件</w:t>
      </w:r>
    </w:p>
    <w:p>
      <w:pPr>
        <w:pStyle w:val="10"/>
        <w:adjustRightInd w:val="0"/>
        <w:snapToGrid w:val="0"/>
        <w:spacing w:before="0" w:line="578" w:lineRule="exact"/>
        <w:ind w:firstLine="643" w:firstLineChars="200"/>
        <w:jc w:val="left"/>
        <w:rPr>
          <w:rFonts w:ascii="Times New Roman" w:hAnsi="Times New Roman" w:eastAsia="方正黑体简体"/>
          <w:b/>
          <w:sz w:val="32"/>
          <w:szCs w:val="32"/>
        </w:rPr>
      </w:pPr>
      <w:r>
        <w:rPr>
          <w:rFonts w:ascii="Times New Roman" w:hAnsi="Times New Roman" w:eastAsia="方正黑体简体"/>
          <w:b/>
          <w:sz w:val="32"/>
          <w:szCs w:val="32"/>
        </w:rPr>
        <w:t>附件1</w:t>
      </w: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黑体简体"/>
          <w:b/>
          <w:sz w:val="32"/>
          <w:szCs w:val="32"/>
        </w:rPr>
        <w:t>附件2</w:t>
      </w:r>
    </w:p>
    <w:p>
      <w:pPr>
        <w:pStyle w:val="10"/>
        <w:adjustRightInd w:val="0"/>
        <w:snapToGrid w:val="0"/>
        <w:spacing w:before="0" w:line="578" w:lineRule="exact"/>
        <w:ind w:firstLine="643" w:firstLineChars="200"/>
        <w:jc w:val="left"/>
        <w:rPr>
          <w:rFonts w:ascii="Times New Roman" w:hAnsi="Times New Roman" w:eastAsia="方正小标宋简体"/>
          <w:b/>
          <w:sz w:val="32"/>
          <w:szCs w:val="32"/>
        </w:rPr>
      </w:pPr>
      <w:r>
        <w:rPr>
          <w:rFonts w:ascii="Times New Roman" w:hAnsi="Times New Roman" w:eastAsia="方正小标宋简体"/>
          <w:b/>
          <w:sz w:val="32"/>
          <w:szCs w:val="32"/>
        </w:rPr>
        <w:t>第五部分 附表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一、收入支出决算总表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二、收入决算表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三、支出决算表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四、财政拨款收入支出决算总表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五、财政拨款支出决算明细表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六、一般公共预算财政拨款支出决算表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七、一般公共预算财政拨款支出决算明细表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八、一般公共预算财政拨款基本支出决算表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九、一般公共预算财政拨款项目支出决算表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十、一般公共预算财政拨款“三公”经费支出决算表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十一、政府性基金预算财政拨款收入支出决算表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十二、政府性基金预算财政拨款“三公”经费支出决算表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十三、国有资本经营预算财政拨款收入支出决算表</w:t>
      </w:r>
    </w:p>
    <w:p>
      <w:pPr>
        <w:pStyle w:val="11"/>
        <w:adjustRightInd w:val="0"/>
        <w:snapToGrid w:val="0"/>
        <w:spacing w:line="578" w:lineRule="exact"/>
        <w:ind w:left="0" w:leftChars="0" w:firstLine="643" w:firstLineChars="200"/>
        <w:jc w:val="left"/>
        <w:rPr>
          <w:rFonts w:eastAsia="方正黑体简体"/>
          <w:b/>
          <w:sz w:val="32"/>
          <w:szCs w:val="32"/>
        </w:rPr>
      </w:pPr>
      <w:r>
        <w:rPr>
          <w:rFonts w:eastAsia="方正黑体简体"/>
          <w:b/>
          <w:sz w:val="32"/>
          <w:szCs w:val="32"/>
        </w:rPr>
        <w:t>十四、国有资本经营预算财政拨款支出决算表</w:t>
      </w:r>
    </w:p>
    <w:p>
      <w:pPr>
        <w:rPr>
          <w:rFonts w:eastAsia="方正黑体简体"/>
          <w:b/>
          <w:sz w:val="32"/>
          <w:szCs w:val="32"/>
        </w:rPr>
      </w:pPr>
    </w:p>
    <w:p>
      <w:pPr>
        <w:rPr>
          <w:rFonts w:eastAsia="方正黑体简体"/>
          <w:b/>
          <w:sz w:val="32"/>
          <w:szCs w:val="32"/>
        </w:rPr>
      </w:pPr>
    </w:p>
    <w:p>
      <w:pPr>
        <w:rPr>
          <w:rFonts w:eastAsia="方正黑体简体"/>
          <w:b/>
          <w:sz w:val="32"/>
          <w:szCs w:val="32"/>
        </w:rPr>
      </w:pPr>
    </w:p>
    <w:p>
      <w:pPr>
        <w:rPr>
          <w:rFonts w:eastAsia="方正黑体简体"/>
          <w:b/>
          <w:sz w:val="32"/>
          <w:szCs w:val="32"/>
        </w:rPr>
      </w:pPr>
    </w:p>
    <w:p>
      <w:pPr>
        <w:rPr>
          <w:rFonts w:eastAsia="方正仿宋简体"/>
          <w:b/>
          <w:sz w:val="32"/>
          <w:szCs w:val="32"/>
        </w:rPr>
      </w:pPr>
    </w:p>
    <w:p>
      <w:pPr>
        <w:rPr>
          <w:rFonts w:eastAsia="方正仿宋简体"/>
          <w:b/>
          <w:sz w:val="32"/>
          <w:szCs w:val="32"/>
        </w:rPr>
      </w:pPr>
    </w:p>
    <w:p>
      <w:pPr>
        <w:pStyle w:val="2"/>
        <w:numPr>
          <w:ilvl w:val="0"/>
          <w:numId w:val="1"/>
        </w:numPr>
        <w:spacing w:before="0" w:after="0" w:line="578" w:lineRule="exact"/>
        <w:jc w:val="center"/>
        <w:rPr>
          <w:rFonts w:eastAsia="方正小标宋简体"/>
          <w:sz w:val="36"/>
          <w:szCs w:val="36"/>
        </w:rPr>
      </w:pPr>
      <w:r>
        <w:rPr>
          <w:rFonts w:eastAsia="方正小标宋简体"/>
          <w:sz w:val="36"/>
          <w:szCs w:val="36"/>
        </w:rPr>
        <w:t>部门概况</w:t>
      </w:r>
    </w:p>
    <w:p>
      <w:pPr>
        <w:snapToGrid w:val="0"/>
        <w:spacing w:line="578" w:lineRule="exact"/>
        <w:ind w:firstLine="643" w:firstLineChars="200"/>
        <w:rPr>
          <w:rFonts w:eastAsia="方正仿宋简体"/>
          <w:b/>
          <w:bCs/>
          <w:color w:val="000000"/>
          <w:sz w:val="32"/>
          <w:szCs w:val="32"/>
        </w:rPr>
      </w:pPr>
    </w:p>
    <w:p>
      <w:pPr>
        <w:pStyle w:val="5"/>
        <w:numPr>
          <w:ilvl w:val="0"/>
          <w:numId w:val="2"/>
        </w:numPr>
        <w:adjustRightInd w:val="0"/>
        <w:snapToGrid w:val="0"/>
        <w:spacing w:beforeLines="0" w:line="578" w:lineRule="exact"/>
        <w:outlineLvl w:val="2"/>
        <w:rPr>
          <w:rFonts w:ascii="Times New Roman" w:eastAsia="方正黑体简体"/>
          <w:b/>
          <w:bCs/>
          <w:color w:val="000000"/>
          <w:sz w:val="32"/>
          <w:szCs w:val="32"/>
        </w:rPr>
      </w:pPr>
      <w:r>
        <w:rPr>
          <w:rFonts w:ascii="Times New Roman" w:eastAsia="黑体"/>
          <w:color w:val="000000" w:themeColor="text1"/>
        </w:rPr>
        <w:t>基</w:t>
      </w:r>
      <w:r>
        <w:rPr>
          <w:rStyle w:val="27"/>
          <w:rFonts w:ascii="Times New Roman" w:hAnsi="Times New Roman" w:eastAsia="黑体" w:cs="Times New Roman"/>
          <w:color w:val="000000" w:themeColor="text1"/>
        </w:rPr>
        <w:t>本职能及主要工作</w:t>
      </w:r>
    </w:p>
    <w:p>
      <w:pPr>
        <w:snapToGrid w:val="0"/>
        <w:spacing w:line="578" w:lineRule="exact"/>
        <w:ind w:firstLine="643" w:firstLineChars="200"/>
        <w:rPr>
          <w:rFonts w:eastAsia="方正楷体简体"/>
          <w:b/>
          <w:bCs/>
          <w:color w:val="000000"/>
          <w:sz w:val="32"/>
          <w:szCs w:val="32"/>
        </w:rPr>
      </w:pPr>
      <w:r>
        <w:rPr>
          <w:rFonts w:eastAsia="方正楷体简体"/>
          <w:b/>
          <w:bCs/>
          <w:color w:val="000000"/>
          <w:sz w:val="32"/>
          <w:szCs w:val="32"/>
        </w:rPr>
        <w:t>（一）主要职能。</w:t>
      </w:r>
    </w:p>
    <w:p>
      <w:pPr>
        <w:snapToGrid w:val="0"/>
        <w:spacing w:line="578" w:lineRule="exact"/>
        <w:ind w:firstLine="643" w:firstLineChars="200"/>
        <w:rPr>
          <w:rFonts w:eastAsia="方正仿宋简体"/>
          <w:b/>
          <w:sz w:val="32"/>
          <w:szCs w:val="32"/>
        </w:rPr>
      </w:pPr>
      <w:r>
        <w:rPr>
          <w:rFonts w:eastAsia="方正仿宋简体"/>
          <w:b/>
          <w:bCs/>
          <w:sz w:val="32"/>
          <w:szCs w:val="32"/>
        </w:rPr>
        <w:t>贯彻落实党中央关于巡视巡察工作的决定和省委、市委、县委的决策部署，贯彻落实县委和县委巡察工作领导小组的决策和部署，</w:t>
      </w:r>
      <w:r>
        <w:rPr>
          <w:rFonts w:eastAsia="方正仿宋简体"/>
          <w:b/>
          <w:sz w:val="32"/>
          <w:szCs w:val="32"/>
        </w:rPr>
        <w:t>承担县委巡察工作的组织部署、督促指导、联络协调工作；统筹、协调、指导巡察组开展工作；对县委和巡察工作领导小组决定的事项进行督办；负责省委巡视、市委巡察组到合巡视巡察的协调联络、办理交办事项、督促巡视巡察整改；配合县纪委、县委组织部及相关部门对巡察工作人员进行培训、考核、监督和管理等工作职能；承担上级巡视巡察联络相关工作。</w:t>
      </w:r>
    </w:p>
    <w:p>
      <w:pPr>
        <w:snapToGrid w:val="0"/>
        <w:spacing w:line="578" w:lineRule="exact"/>
        <w:ind w:firstLine="643" w:firstLineChars="200"/>
        <w:rPr>
          <w:rFonts w:eastAsia="方正楷体简体"/>
          <w:b/>
          <w:bCs/>
          <w:color w:val="000000"/>
          <w:sz w:val="32"/>
          <w:szCs w:val="32"/>
        </w:rPr>
      </w:pPr>
      <w:r>
        <w:rPr>
          <w:rFonts w:eastAsia="方正楷体简体"/>
          <w:b/>
          <w:bCs/>
          <w:color w:val="000000"/>
          <w:sz w:val="32"/>
          <w:szCs w:val="32"/>
        </w:rPr>
        <w:t>（二）2020年重点工作完成情况。</w:t>
      </w:r>
    </w:p>
    <w:p>
      <w:pPr>
        <w:snapToGrid w:val="0"/>
        <w:spacing w:line="578" w:lineRule="exact"/>
        <w:ind w:firstLine="643" w:firstLineChars="200"/>
        <w:rPr>
          <w:rFonts w:eastAsia="仿宋_GB2312"/>
          <w:sz w:val="32"/>
          <w:szCs w:val="32"/>
        </w:rPr>
      </w:pPr>
      <w:r>
        <w:rPr>
          <w:rFonts w:eastAsia="方正仿宋简体"/>
          <w:b/>
          <w:bCs/>
          <w:sz w:val="32"/>
          <w:szCs w:val="32"/>
        </w:rPr>
        <w:t>2020年开展了十三届县委第7轮、第8轮对24个单位的常规巡察、省委第五巡视组对泸县开展为期1个月的常规巡视，按照省委、市委巡视巡察上下联动有关要求，派出1个巡察组配合省委对县法院开展上下联动巡视巡察；配合市委组建1个联动巡察组对玉蟾街道开展提级巡察；组建1个机动巡察组对福集等5个镇开展脱贫攻坚整改情况机动巡察；</w:t>
      </w:r>
      <w:r>
        <w:rPr>
          <w:rFonts w:eastAsia="方正仿宋简体"/>
          <w:b/>
          <w:sz w:val="32"/>
          <w:szCs w:val="32"/>
        </w:rPr>
        <w:t>派出巡察组1个（13人）对纳溪区区委办公室、区政府办公室开展市+区县交叉巡察。</w:t>
      </w:r>
    </w:p>
    <w:p>
      <w:pPr>
        <w:pStyle w:val="5"/>
        <w:numPr>
          <w:ilvl w:val="0"/>
          <w:numId w:val="3"/>
        </w:numPr>
        <w:adjustRightInd w:val="0"/>
        <w:snapToGrid w:val="0"/>
        <w:spacing w:beforeLines="0" w:line="578" w:lineRule="exact"/>
        <w:ind w:firstLine="675" w:firstLineChars="210"/>
        <w:outlineLvl w:val="2"/>
        <w:rPr>
          <w:rFonts w:ascii="Times New Roman" w:eastAsia="方正黑体简体"/>
          <w:b/>
          <w:bCs/>
          <w:color w:val="000000"/>
          <w:sz w:val="32"/>
          <w:szCs w:val="32"/>
        </w:rPr>
      </w:pPr>
      <w:r>
        <w:rPr>
          <w:rFonts w:ascii="Times New Roman" w:eastAsia="方正黑体简体"/>
          <w:b/>
          <w:bCs/>
          <w:color w:val="000000"/>
          <w:sz w:val="32"/>
          <w:szCs w:val="32"/>
        </w:rPr>
        <w:t>机构设置</w:t>
      </w:r>
    </w:p>
    <w:p>
      <w:pPr>
        <w:snapToGrid w:val="0"/>
        <w:spacing w:line="578" w:lineRule="exact"/>
        <w:ind w:firstLine="643" w:firstLineChars="200"/>
        <w:rPr>
          <w:rFonts w:eastAsia="方正仿宋简体"/>
          <w:b/>
          <w:bCs/>
          <w:sz w:val="32"/>
          <w:szCs w:val="32"/>
        </w:rPr>
      </w:pPr>
      <w:r>
        <w:rPr>
          <w:rFonts w:eastAsia="方正仿宋简体"/>
          <w:b/>
          <w:bCs/>
          <w:sz w:val="32"/>
          <w:szCs w:val="32"/>
        </w:rPr>
        <w:t>泸县县委巡察办是一级预算单位，属行政单位。机构规格为正科级，2020年新增巡察专员编制4名,核定行政编制10名，设主任1名（正科级），副主任1名（副科级）,巡察专员4人（副科级），科员4人，2020年末实有在编人员8人（其中：主任1名，副主任1名,巡察专员2名，综合股股长1名，巡察联络股股长1名，科员2名）。在岗不在编7人（巡察组组长、副组长），抽调巡察干部15人。</w:t>
      </w:r>
    </w:p>
    <w:p>
      <w:pPr>
        <w:pStyle w:val="32"/>
        <w:autoSpaceDN w:val="0"/>
        <w:spacing w:line="560" w:lineRule="exact"/>
        <w:ind w:firstLine="643" w:firstLineChars="200"/>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32"/>
        <w:autoSpaceDN w:val="0"/>
        <w:spacing w:line="560" w:lineRule="exact"/>
        <w:jc w:val="left"/>
        <w:rPr>
          <w:rFonts w:eastAsia="方正仿宋简体"/>
          <w:b/>
          <w:bCs/>
          <w:sz w:val="32"/>
          <w:szCs w:val="32"/>
        </w:rPr>
      </w:pPr>
    </w:p>
    <w:p>
      <w:pPr>
        <w:pStyle w:val="2"/>
        <w:spacing w:before="0" w:after="0" w:line="578" w:lineRule="exact"/>
        <w:ind w:left="1500"/>
        <w:rPr>
          <w:rFonts w:eastAsia="方正小标宋简体"/>
          <w:sz w:val="36"/>
          <w:szCs w:val="36"/>
        </w:rPr>
      </w:pPr>
      <w:r>
        <w:rPr>
          <w:rFonts w:eastAsia="方正小标宋简体"/>
          <w:sz w:val="36"/>
          <w:szCs w:val="36"/>
        </w:rPr>
        <w:t>第二部分  2020度部门决算情况说明</w:t>
      </w:r>
    </w:p>
    <w:p>
      <w:pPr>
        <w:pStyle w:val="25"/>
        <w:spacing w:line="578" w:lineRule="exact"/>
        <w:ind w:left="640" w:firstLine="0" w:firstLineChars="0"/>
        <w:outlineLvl w:val="1"/>
        <w:rPr>
          <w:rFonts w:eastAsia="黑体"/>
          <w:color w:val="000000"/>
          <w:sz w:val="32"/>
          <w:szCs w:val="32"/>
        </w:rPr>
      </w:pPr>
    </w:p>
    <w:p>
      <w:pPr>
        <w:pStyle w:val="25"/>
        <w:spacing w:line="578" w:lineRule="exact"/>
        <w:ind w:firstLine="643"/>
        <w:outlineLvl w:val="1"/>
        <w:rPr>
          <w:rStyle w:val="27"/>
          <w:rFonts w:ascii="Times New Roman" w:hAnsi="Times New Roman" w:eastAsia="方正黑体简体" w:cs="Times New Roman"/>
        </w:rPr>
      </w:pPr>
      <w:r>
        <w:rPr>
          <w:rFonts w:eastAsia="方正黑体简体"/>
          <w:b/>
          <w:color w:val="000000"/>
          <w:sz w:val="32"/>
          <w:szCs w:val="32"/>
        </w:rPr>
        <w:t>一、收</w:t>
      </w:r>
      <w:r>
        <w:rPr>
          <w:rStyle w:val="27"/>
          <w:rFonts w:ascii="Times New Roman" w:hAnsi="Times New Roman" w:eastAsia="方正黑体简体" w:cs="Times New Roman"/>
        </w:rPr>
        <w:t>入支出决算总体情况说明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2020年度收、支总计365.44万元。与2019年相比，收、支总计各增加45.67万元，增长14.30%。主要变动原因是2020年新进人员2人。</w:t>
      </w:r>
    </w:p>
    <w:p>
      <w:pPr>
        <w:spacing w:line="578" w:lineRule="exact"/>
        <w:ind w:firstLine="420" w:firstLineChars="200"/>
        <w:rPr>
          <w:rFonts w:hint="eastAsia" w:eastAsia="方正仿宋简体"/>
          <w:b/>
          <w:color w:val="000000"/>
          <w:sz w:val="32"/>
          <w:szCs w:val="32"/>
          <w:lang w:eastAsia="zh-CN"/>
        </w:rPr>
      </w:pPr>
      <w:r>
        <w:drawing>
          <wp:anchor distT="0" distB="0" distL="114300" distR="114300" simplePos="0" relativeHeight="251659264" behindDoc="0" locked="0" layoutInCell="1" allowOverlap="1">
            <wp:simplePos x="0" y="0"/>
            <wp:positionH relativeFrom="column">
              <wp:posOffset>446405</wp:posOffset>
            </wp:positionH>
            <wp:positionV relativeFrom="paragraph">
              <wp:posOffset>247015</wp:posOffset>
            </wp:positionV>
            <wp:extent cx="4676775" cy="2771775"/>
            <wp:effectExtent l="4445" t="4445" r="5080" b="5080"/>
            <wp:wrapTopAndBottom/>
            <wp:docPr id="2" name="图表 2" descr="7b0a202020202263686172745265734964223a20223435363833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25"/>
        <w:spacing w:line="578" w:lineRule="exact"/>
        <w:ind w:firstLine="643"/>
        <w:outlineLvl w:val="1"/>
        <w:rPr>
          <w:rFonts w:eastAsia="方正黑体简体"/>
          <w:bCs/>
          <w:color w:val="000000"/>
        </w:rPr>
      </w:pPr>
      <w:r>
        <w:rPr>
          <w:rFonts w:eastAsia="方正黑体简体"/>
          <w:b/>
          <w:color w:val="000000"/>
          <w:sz w:val="32"/>
          <w:szCs w:val="32"/>
        </w:rPr>
        <w:t>二、收入决算情况说明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2020年本年收入合计365.44万元，其中：一般公共预算财政拨款收入365.44万元，占100%。</w:t>
      </w:r>
    </w:p>
    <w:p>
      <w:pPr>
        <w:spacing w:line="578" w:lineRule="exact"/>
        <w:ind w:firstLine="643" w:firstLineChars="200"/>
        <w:rPr>
          <w:rFonts w:eastAsia="方正仿宋简体"/>
          <w:b/>
          <w:color w:val="000000"/>
          <w:sz w:val="32"/>
          <w:szCs w:val="32"/>
        </w:rPr>
      </w:pPr>
    </w:p>
    <w:p>
      <w:pPr>
        <w:spacing w:line="578" w:lineRule="exact"/>
        <w:ind w:firstLine="643" w:firstLineChars="200"/>
        <w:rPr>
          <w:rFonts w:hint="eastAsia" w:eastAsia="方正仿宋简体"/>
          <w:b/>
          <w:color w:val="000000"/>
          <w:sz w:val="32"/>
          <w:szCs w:val="32"/>
          <w:lang w:eastAsia="zh-CN"/>
        </w:rPr>
      </w:pPr>
    </w:p>
    <w:p>
      <w:pPr>
        <w:spacing w:line="578" w:lineRule="exact"/>
        <w:ind w:firstLine="643" w:firstLineChars="200"/>
        <w:rPr>
          <w:rFonts w:eastAsia="方正仿宋简体"/>
          <w:b/>
          <w:color w:val="000000"/>
          <w:sz w:val="32"/>
          <w:szCs w:val="32"/>
        </w:rPr>
      </w:pPr>
    </w:p>
    <w:p>
      <w:pPr>
        <w:pStyle w:val="25"/>
        <w:spacing w:line="578" w:lineRule="exact"/>
        <w:ind w:firstLine="643"/>
        <w:outlineLvl w:val="1"/>
        <w:rPr>
          <w:rFonts w:eastAsia="方正黑体简体"/>
          <w:b/>
          <w:color w:val="000000"/>
          <w:sz w:val="32"/>
          <w:szCs w:val="32"/>
        </w:rPr>
      </w:pPr>
      <w:r>
        <w:rPr>
          <w:rFonts w:hint="eastAsia" w:eastAsia="方正仿宋简体"/>
          <w:b/>
          <w:color w:val="000000"/>
          <w:sz w:val="32"/>
          <w:szCs w:val="32"/>
          <w:lang w:eastAsia="zh-CN"/>
        </w:rPr>
        <w:drawing>
          <wp:anchor distT="0" distB="0" distL="114300" distR="114300" simplePos="0" relativeHeight="251660288" behindDoc="0" locked="0" layoutInCell="1" allowOverlap="1">
            <wp:simplePos x="0" y="0"/>
            <wp:positionH relativeFrom="column">
              <wp:posOffset>795020</wp:posOffset>
            </wp:positionH>
            <wp:positionV relativeFrom="paragraph">
              <wp:posOffset>87630</wp:posOffset>
            </wp:positionV>
            <wp:extent cx="3947160" cy="2620010"/>
            <wp:effectExtent l="4445" t="4445" r="10795" b="2349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
          <w:color w:val="000000"/>
          <w:sz w:val="32"/>
          <w:szCs w:val="32"/>
        </w:rPr>
      </w:pPr>
    </w:p>
    <w:p>
      <w:pPr>
        <w:pStyle w:val="25"/>
        <w:spacing w:line="578" w:lineRule="exact"/>
        <w:ind w:firstLine="643"/>
        <w:outlineLvl w:val="1"/>
        <w:rPr>
          <w:rFonts w:eastAsia="方正黑体简体"/>
          <w:bCs/>
          <w:color w:val="000000"/>
        </w:rPr>
      </w:pPr>
      <w:r>
        <w:rPr>
          <w:rFonts w:eastAsia="方正黑体简体"/>
          <w:b/>
          <w:color w:val="000000"/>
          <w:sz w:val="32"/>
          <w:szCs w:val="32"/>
        </w:rPr>
        <w:t>三、支出决算情况说明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2020年本年支出合计365.44万元，其中：基本支出255.18万元，占69.83%；项目支出110.26万元，占30.17%。</w:t>
      </w:r>
    </w:p>
    <w:p>
      <w:pPr>
        <w:spacing w:line="578" w:lineRule="exact"/>
        <w:ind w:firstLine="643" w:firstLineChars="200"/>
        <w:rPr>
          <w:rFonts w:hint="eastAsia" w:eastAsia="方正仿宋简体"/>
          <w:b/>
          <w:color w:val="000000"/>
          <w:sz w:val="32"/>
          <w:szCs w:val="32"/>
          <w:lang w:eastAsia="zh-CN"/>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outlineLvl w:val="1"/>
        <w:rPr>
          <w:rFonts w:eastAsia="方正黑体简体"/>
          <w:b/>
          <w:color w:val="000000"/>
          <w:sz w:val="32"/>
          <w:szCs w:val="32"/>
        </w:rPr>
      </w:pPr>
    </w:p>
    <w:p>
      <w:pPr>
        <w:spacing w:line="578" w:lineRule="exact"/>
        <w:ind w:firstLine="643" w:firstLineChars="200"/>
        <w:outlineLvl w:val="1"/>
        <w:rPr>
          <w:rFonts w:hint="eastAsia" w:eastAsia="方正黑体简体"/>
          <w:b/>
          <w:color w:val="000000"/>
          <w:sz w:val="32"/>
          <w:szCs w:val="32"/>
          <w:lang w:eastAsia="zh-CN"/>
        </w:rPr>
      </w:pPr>
      <w:r>
        <w:rPr>
          <w:rFonts w:hint="eastAsia" w:eastAsia="方正黑体简体"/>
          <w:b/>
          <w:color w:val="000000"/>
          <w:sz w:val="32"/>
          <w:szCs w:val="32"/>
          <w:lang w:eastAsia="zh-CN"/>
        </w:rPr>
        <w:drawing>
          <wp:inline distT="0" distB="0" distL="114300" distR="114300">
            <wp:extent cx="5004435" cy="2603500"/>
            <wp:effectExtent l="0" t="0" r="5715" b="635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a:stretch>
                      <a:fillRect/>
                    </a:stretch>
                  </pic:blipFill>
                  <pic:spPr>
                    <a:xfrm>
                      <a:off x="0" y="0"/>
                      <a:ext cx="5004435" cy="2603500"/>
                    </a:xfrm>
                    <a:prstGeom prst="rect">
                      <a:avLst/>
                    </a:prstGeom>
                    <a:extLst>
                      <wpswe:webExtensionRef xmlns:wpswe="http://www.wps.cn/officeDocument/2018/webExtension" r:id="rId11"/>
                    </a:extLst>
                  </pic:spPr>
                </pic:pic>
              </a:graphicData>
            </a:graphic>
          </wp:inline>
        </w:drawing>
      </w:r>
    </w:p>
    <w:p>
      <w:pPr>
        <w:spacing w:line="578" w:lineRule="exact"/>
        <w:ind w:firstLine="643" w:firstLineChars="200"/>
        <w:outlineLvl w:val="1"/>
        <w:rPr>
          <w:rFonts w:eastAsia="方正黑体简体"/>
          <w:bCs/>
          <w:color w:val="000000"/>
        </w:rPr>
      </w:pPr>
      <w:r>
        <w:rPr>
          <w:rFonts w:eastAsia="方正黑体简体"/>
          <w:b/>
          <w:color w:val="000000"/>
          <w:sz w:val="32"/>
          <w:szCs w:val="32"/>
        </w:rPr>
        <w:t>四、财政拨款收入支出决算总体情况说明</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2020年财政拨款收、支总计365.44万元。与2019年相比，财政拨款收、支总计各增加45.67万元，增长14.30%。主要变动原因是2020年新进人员2人。</w:t>
      </w:r>
    </w:p>
    <w:p>
      <w:pPr>
        <w:spacing w:line="578" w:lineRule="exact"/>
        <w:ind w:firstLine="643" w:firstLineChars="200"/>
        <w:rPr>
          <w:rFonts w:eastAsia="方正仿宋简体"/>
          <w:b/>
          <w:color w:val="000000"/>
          <w:sz w:val="32"/>
          <w:szCs w:val="32"/>
        </w:rPr>
      </w:pPr>
      <w:r>
        <w:rPr>
          <w:rFonts w:eastAsia="方正仿宋简体"/>
          <w:b/>
          <w:color w:val="000000"/>
          <w:sz w:val="32"/>
          <w:szCs w:val="32"/>
        </w:rPr>
        <w:drawing>
          <wp:anchor distT="0" distB="0" distL="114300" distR="114300" simplePos="0" relativeHeight="251661312" behindDoc="0" locked="0" layoutInCell="1" allowOverlap="1">
            <wp:simplePos x="0" y="0"/>
            <wp:positionH relativeFrom="column">
              <wp:posOffset>201295</wp:posOffset>
            </wp:positionH>
            <wp:positionV relativeFrom="paragraph">
              <wp:posOffset>105410</wp:posOffset>
            </wp:positionV>
            <wp:extent cx="5061585" cy="2715260"/>
            <wp:effectExtent l="4445" t="4445" r="20320" b="2349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eastAsia="方正仿宋简体"/>
          <w:b/>
          <w:color w:val="000000"/>
          <w:sz w:val="32"/>
          <w:szCs w:val="32"/>
        </w:rPr>
      </w:pPr>
    </w:p>
    <w:p>
      <w:pPr>
        <w:spacing w:line="578" w:lineRule="exact"/>
        <w:ind w:firstLine="643" w:firstLineChars="200"/>
        <w:rPr>
          <w:rFonts w:hint="eastAsia" w:eastAsia="方正仿宋简体"/>
          <w:b/>
          <w:color w:val="000000"/>
          <w:sz w:val="32"/>
          <w:szCs w:val="32"/>
          <w:lang w:eastAsia="zh-CN"/>
        </w:rPr>
      </w:pPr>
    </w:p>
    <w:p>
      <w:pPr>
        <w:spacing w:line="578" w:lineRule="exact"/>
        <w:ind w:firstLine="643" w:firstLineChars="200"/>
        <w:outlineLvl w:val="1"/>
        <w:rPr>
          <w:rFonts w:eastAsia="方正黑体简体"/>
          <w:bCs/>
          <w:color w:val="000000"/>
        </w:rPr>
      </w:pPr>
      <w:r>
        <w:rPr>
          <w:rFonts w:eastAsia="方正黑体简体"/>
          <w:b/>
          <w:color w:val="000000"/>
          <w:sz w:val="32"/>
          <w:szCs w:val="32"/>
        </w:rPr>
        <w:t>五、一般公共预算财政拨款支出决算情况说明</w:t>
      </w:r>
      <w:bookmarkStart w:id="32" w:name="_GoBack"/>
      <w:bookmarkEnd w:id="32"/>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（一）一般公共预算财政拨款支出决算总体情况</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2020年一般公共预算财政拨款支出365.44万元，占本年支出合计的100%。与2020年相比，一般公共预算财政拨款增加45.67万元，增长14.30%。主要变动原因是2020年新进人员2人。</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（二）一般公共预算财政拨款支出决算结构情况</w:t>
      </w:r>
    </w:p>
    <w:p>
      <w:pPr>
        <w:spacing w:line="578" w:lineRule="exact"/>
        <w:ind w:firstLine="640"/>
        <w:rPr>
          <w:rFonts w:eastAsia="方正仿宋简体"/>
          <w:b/>
          <w:color w:val="000000"/>
          <w:sz w:val="32"/>
          <w:szCs w:val="32"/>
        </w:rPr>
      </w:pPr>
      <w:r>
        <w:rPr>
          <w:rFonts w:eastAsia="方正仿宋简体"/>
          <w:b/>
          <w:color w:val="000000"/>
          <w:sz w:val="32"/>
          <w:szCs w:val="32"/>
        </w:rPr>
        <w:t>2020年一般公共预算财</w:t>
      </w:r>
      <w:r>
        <w:rPr>
          <w:rFonts w:eastAsia="方正仿宋简体"/>
          <w:b/>
          <w:color w:val="000000" w:themeColor="text1"/>
          <w:sz w:val="32"/>
          <w:szCs w:val="32"/>
        </w:rPr>
        <w:t>政拨款支出365.44万元，主要用于以下方面:</w:t>
      </w:r>
      <w:r>
        <w:rPr>
          <w:rFonts w:eastAsia="方正仿宋简体"/>
          <w:b/>
          <w:color w:val="000000"/>
          <w:sz w:val="32"/>
          <w:szCs w:val="32"/>
        </w:rPr>
        <w:t>一般公共服务（类）支出335.31万元，占91.76%；社会保障和就业（类）支出14.16万元，占3.87%；医疗卫生支出7.64万元，占2.09%；住房保</w:t>
      </w:r>
      <w:r>
        <w:rPr>
          <w:rFonts w:eastAsia="方正仿宋简体"/>
          <w:b/>
          <w:color w:val="000000" w:themeColor="text1"/>
          <w:sz w:val="32"/>
          <w:szCs w:val="32"/>
        </w:rPr>
        <w:t>障支出8.33万元，占2.28%。</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（三）一般公共预算财政拨款支出决算具体情况</w:t>
      </w:r>
    </w:p>
    <w:p>
      <w:pPr>
        <w:spacing w:line="578" w:lineRule="exact"/>
        <w:ind w:firstLine="643" w:firstLineChars="200"/>
        <w:outlineLvl w:val="2"/>
        <w:rPr>
          <w:rFonts w:eastAsia="方正仿宋简体"/>
          <w:b/>
          <w:color w:val="FF0000"/>
          <w:sz w:val="32"/>
          <w:szCs w:val="32"/>
        </w:rPr>
      </w:pPr>
      <w:r>
        <w:rPr>
          <w:rFonts w:eastAsia="方正仿宋简体"/>
          <w:b/>
          <w:color w:val="000000" w:themeColor="text1"/>
          <w:sz w:val="32"/>
          <w:szCs w:val="32"/>
        </w:rPr>
        <w:t>2020年般公共预算支出决算数为365.44万元，</w:t>
      </w:r>
      <w:r>
        <w:rPr>
          <w:rStyle w:val="15"/>
          <w:rFonts w:eastAsia="方正仿宋简体"/>
          <w:bCs/>
          <w:color w:val="000000" w:themeColor="text1"/>
          <w:sz w:val="32"/>
          <w:szCs w:val="32"/>
        </w:rPr>
        <w:t>完成</w:t>
      </w:r>
      <w:r>
        <w:rPr>
          <w:rStyle w:val="15"/>
          <w:rFonts w:eastAsia="方正仿宋简体"/>
          <w:bCs/>
          <w:color w:val="000000"/>
          <w:sz w:val="32"/>
          <w:szCs w:val="32"/>
        </w:rPr>
        <w:t>预算100%。其中：</w:t>
      </w:r>
    </w:p>
    <w:p>
      <w:pPr>
        <w:spacing w:line="578" w:lineRule="exact"/>
        <w:ind w:firstLine="643" w:firstLineChars="200"/>
        <w:outlineLvl w:val="2"/>
        <w:rPr>
          <w:rStyle w:val="15"/>
          <w:rFonts w:eastAsia="方正仿宋简体"/>
          <w:color w:val="FF0000"/>
          <w:sz w:val="32"/>
          <w:szCs w:val="32"/>
        </w:rPr>
      </w:pPr>
      <w:r>
        <w:rPr>
          <w:rStyle w:val="15"/>
          <w:rFonts w:eastAsia="方正仿宋简体"/>
          <w:bCs/>
          <w:color w:val="000000"/>
          <w:sz w:val="32"/>
          <w:szCs w:val="32"/>
        </w:rPr>
        <w:t>1.一般公共服务（类）纪检监察事务（款）行政运行（项）: 支出决算为335.31万元，完成预算100%。</w:t>
      </w:r>
    </w:p>
    <w:p>
      <w:pPr>
        <w:spacing w:line="578" w:lineRule="exact"/>
        <w:ind w:firstLine="643" w:firstLineChars="200"/>
        <w:rPr>
          <w:rFonts w:eastAsia="方正仿宋简体"/>
          <w:b/>
          <w:color w:val="000000"/>
          <w:sz w:val="32"/>
          <w:szCs w:val="32"/>
        </w:rPr>
      </w:pPr>
      <w:r>
        <w:rPr>
          <w:rStyle w:val="15"/>
          <w:rFonts w:eastAsia="方正仿宋简体"/>
          <w:bCs/>
          <w:color w:val="000000"/>
          <w:sz w:val="32"/>
          <w:szCs w:val="32"/>
        </w:rPr>
        <w:t>2.社会保障和就业行政事业单位离退休（款）机关事业单位基本养老保险缴费支出、机关事业单位职业年金缴费支出（项）:支出决算为14.16万元，完成预算100%。</w:t>
      </w:r>
    </w:p>
    <w:p>
      <w:pPr>
        <w:spacing w:line="578" w:lineRule="exact"/>
        <w:ind w:firstLine="643" w:firstLineChars="200"/>
        <w:rPr>
          <w:rStyle w:val="15"/>
          <w:rFonts w:eastAsia="方正仿宋简体"/>
          <w:bCs/>
          <w:color w:val="000000"/>
          <w:sz w:val="32"/>
          <w:szCs w:val="32"/>
        </w:rPr>
      </w:pPr>
      <w:r>
        <w:rPr>
          <w:rStyle w:val="15"/>
          <w:rFonts w:eastAsia="方正仿宋简体"/>
          <w:bCs/>
          <w:color w:val="000000"/>
          <w:sz w:val="32"/>
          <w:szCs w:val="32"/>
        </w:rPr>
        <w:t>3.医疗卫生与计划生育（类）行政事业单位医疗（款） 行政单位医疗（项）:支出决算为7.64万元，完成预算100%。</w:t>
      </w:r>
    </w:p>
    <w:p>
      <w:pPr>
        <w:spacing w:line="578" w:lineRule="exact"/>
        <w:ind w:firstLine="643" w:firstLineChars="200"/>
        <w:rPr>
          <w:rStyle w:val="15"/>
          <w:rFonts w:eastAsia="方正仿宋简体"/>
          <w:bCs/>
          <w:color w:val="000000"/>
          <w:sz w:val="32"/>
          <w:szCs w:val="32"/>
        </w:rPr>
      </w:pPr>
      <w:r>
        <w:rPr>
          <w:rStyle w:val="15"/>
          <w:rFonts w:eastAsia="方正仿宋简体"/>
          <w:bCs/>
          <w:color w:val="000000"/>
          <w:sz w:val="32"/>
          <w:szCs w:val="32"/>
        </w:rPr>
        <w:t>4.住房保障支出（类）住房改革支出（款）住房公积金（项）:支出决算为8.33万元，完成预算100%。</w:t>
      </w:r>
    </w:p>
    <w:p>
      <w:pPr>
        <w:tabs>
          <w:tab w:val="right" w:pos="8306"/>
        </w:tabs>
        <w:spacing w:line="578" w:lineRule="exact"/>
        <w:ind w:firstLine="640"/>
        <w:outlineLvl w:val="1"/>
        <w:rPr>
          <w:rFonts w:eastAsia="方正黑体简体"/>
          <w:bCs/>
          <w:color w:val="000000"/>
        </w:rPr>
      </w:pPr>
      <w:r>
        <w:rPr>
          <w:rFonts w:eastAsia="方正黑体简体"/>
          <w:b/>
          <w:color w:val="000000"/>
          <w:sz w:val="32"/>
          <w:szCs w:val="32"/>
        </w:rPr>
        <w:t>六、一般公共预算财政拨款基本支出决算情况说明</w:t>
      </w:r>
      <w:r>
        <w:rPr>
          <w:rFonts w:eastAsia="方正黑体简体"/>
          <w:bCs/>
          <w:color w:val="000000"/>
        </w:rPr>
        <w:tab/>
      </w:r>
    </w:p>
    <w:p>
      <w:pPr>
        <w:spacing w:line="578" w:lineRule="exact"/>
        <w:ind w:firstLine="645"/>
        <w:rPr>
          <w:rFonts w:eastAsia="方正仿宋简体"/>
          <w:b/>
          <w:color w:val="000000"/>
          <w:sz w:val="32"/>
          <w:szCs w:val="32"/>
        </w:rPr>
      </w:pPr>
      <w:r>
        <w:rPr>
          <w:rFonts w:eastAsia="方正仿宋简体"/>
          <w:b/>
          <w:color w:val="000000"/>
          <w:sz w:val="32"/>
          <w:szCs w:val="32"/>
        </w:rPr>
        <w:t>2020年一般公共预算财政拨款基本支出255.18万元，其中：</w:t>
      </w:r>
    </w:p>
    <w:p>
      <w:pPr>
        <w:spacing w:line="578" w:lineRule="exact"/>
        <w:ind w:firstLine="645"/>
        <w:rPr>
          <w:rFonts w:hint="eastAsia" w:eastAsia="方正仿宋简体"/>
          <w:b/>
          <w:color w:val="000000"/>
          <w:sz w:val="32"/>
          <w:szCs w:val="32"/>
          <w:lang w:eastAsia="zh-CN"/>
        </w:rPr>
      </w:pPr>
      <w:r>
        <w:rPr>
          <w:rFonts w:eastAsia="方正仿宋简体"/>
          <w:b/>
          <w:color w:val="000000"/>
          <w:sz w:val="32"/>
          <w:szCs w:val="32"/>
        </w:rPr>
        <w:t>人员经费203.18万元，主要包括：基本工资、津贴补贴、奖金、机关事业单位基本养老保险缴费、行政单位医疗、其他社会保障缴费、住房公积金等。</w:t>
      </w:r>
    </w:p>
    <w:p>
      <w:pPr>
        <w:spacing w:line="578" w:lineRule="exact"/>
        <w:ind w:firstLine="645"/>
        <w:rPr>
          <w:rFonts w:eastAsia="方正仿宋简体"/>
          <w:b/>
          <w:color w:val="000000"/>
          <w:sz w:val="32"/>
          <w:szCs w:val="32"/>
        </w:rPr>
      </w:pPr>
      <w:r>
        <w:rPr>
          <w:rFonts w:eastAsia="方正仿宋简体"/>
          <w:b/>
          <w:color w:val="000000"/>
          <w:sz w:val="32"/>
          <w:szCs w:val="32"/>
        </w:rPr>
        <w:t>　　公用经费52万元，主要包括：办公费、印刷费、差旅费、租赁费、会议费、公务接待费、工会经费、福利费、其他交通费、其他商品和服务支出等。</w:t>
      </w:r>
    </w:p>
    <w:p>
      <w:pPr>
        <w:spacing w:line="578" w:lineRule="exact"/>
        <w:ind w:firstLine="640"/>
        <w:outlineLvl w:val="1"/>
        <w:rPr>
          <w:rFonts w:eastAsia="方正黑体简体"/>
          <w:b/>
          <w:color w:val="000000"/>
          <w:sz w:val="32"/>
          <w:szCs w:val="32"/>
        </w:rPr>
      </w:pPr>
      <w:r>
        <w:rPr>
          <w:rFonts w:eastAsia="方正黑体简体"/>
          <w:b/>
          <w:color w:val="000000"/>
          <w:sz w:val="32"/>
          <w:szCs w:val="32"/>
        </w:rPr>
        <w:t>七、“三公”经费财政拨款支出决算情况说明</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（一）“三公”经费财政拨款支出决算总体情况说明</w:t>
      </w:r>
    </w:p>
    <w:p>
      <w:pPr>
        <w:snapToGrid w:val="0"/>
        <w:spacing w:line="578" w:lineRule="exact"/>
        <w:ind w:firstLine="643" w:firstLineChars="200"/>
        <w:rPr>
          <w:rFonts w:eastAsia="方正仿宋简体"/>
          <w:b/>
          <w:color w:val="000000"/>
          <w:sz w:val="32"/>
          <w:szCs w:val="32"/>
        </w:rPr>
      </w:pPr>
      <w:r>
        <w:rPr>
          <w:rFonts w:eastAsia="方正仿宋简体"/>
          <w:b/>
          <w:color w:val="000000"/>
          <w:sz w:val="32"/>
          <w:szCs w:val="32"/>
        </w:rPr>
        <w:t>2020年“三公”经费财政拨款支出决算为4.86万元，完成预算100%，，决算数与预算数持平。比</w:t>
      </w:r>
      <w:r>
        <w:rPr>
          <w:rFonts w:eastAsia="方正仿宋简体"/>
          <w:b/>
          <w:bCs/>
          <w:sz w:val="32"/>
          <w:szCs w:val="32"/>
        </w:rPr>
        <w:t>上年度减少1.14万元，主要原因是</w:t>
      </w:r>
      <w:r>
        <w:rPr>
          <w:rFonts w:eastAsia="方正仿宋简体"/>
          <w:b/>
          <w:color w:val="000000"/>
          <w:sz w:val="32"/>
          <w:szCs w:val="32"/>
        </w:rPr>
        <w:t>严格按照八项规定要求，根据厉行节约的原则，调研、交流学习接待减少。</w:t>
      </w:r>
      <w:r>
        <w:rPr>
          <w:rFonts w:eastAsia="方正仿宋简体"/>
          <w:b/>
          <w:bCs/>
          <w:sz w:val="32"/>
          <w:szCs w:val="32"/>
        </w:rPr>
        <w:t>国内公务接待96批次，国内公务接待458人次</w:t>
      </w:r>
      <w:r>
        <w:rPr>
          <w:rFonts w:eastAsia="方正仿宋简体"/>
          <w:b/>
          <w:color w:val="000000"/>
          <w:sz w:val="32"/>
          <w:szCs w:val="32"/>
        </w:rPr>
        <w:t>（不包括陪同人员），共计支出4.86万元，主要用于上级部门调研指导工作，以及区县同行学习交流。</w:t>
      </w:r>
    </w:p>
    <w:p>
      <w:pPr>
        <w:spacing w:line="578" w:lineRule="exact"/>
        <w:ind w:firstLine="643" w:firstLineChars="200"/>
        <w:outlineLvl w:val="2"/>
        <w:rPr>
          <w:rFonts w:eastAsia="方正楷体简体"/>
          <w:b/>
          <w:color w:val="000000"/>
          <w:sz w:val="32"/>
          <w:szCs w:val="32"/>
        </w:rPr>
      </w:pPr>
      <w:r>
        <w:rPr>
          <w:rFonts w:eastAsia="方正楷体简体"/>
          <w:b/>
          <w:color w:val="000000"/>
          <w:sz w:val="32"/>
          <w:szCs w:val="32"/>
        </w:rPr>
        <w:t>（二）“三公”经费财政拨款支出决算具体情况说明</w:t>
      </w:r>
    </w:p>
    <w:p>
      <w:pPr>
        <w:spacing w:line="578" w:lineRule="exact"/>
        <w:ind w:firstLine="640"/>
        <w:rPr>
          <w:rFonts w:eastAsia="方正仿宋简体"/>
          <w:b/>
          <w:color w:val="000000"/>
          <w:sz w:val="32"/>
          <w:szCs w:val="32"/>
        </w:rPr>
      </w:pPr>
      <w:r>
        <w:rPr>
          <w:rFonts w:eastAsia="方正仿宋简体"/>
          <w:b/>
          <w:color w:val="000000"/>
          <w:sz w:val="32"/>
          <w:szCs w:val="32"/>
        </w:rPr>
        <w:t xml:space="preserve">1.因公出国（境）经费支出0万元。 </w:t>
      </w:r>
    </w:p>
    <w:p>
      <w:pPr>
        <w:spacing w:line="578" w:lineRule="exact"/>
        <w:ind w:firstLine="640"/>
        <w:rPr>
          <w:rFonts w:eastAsia="方正仿宋简体"/>
          <w:b/>
          <w:color w:val="000000"/>
          <w:sz w:val="32"/>
          <w:szCs w:val="32"/>
        </w:rPr>
      </w:pPr>
      <w:r>
        <w:rPr>
          <w:rFonts w:eastAsia="方正仿宋简体"/>
          <w:b/>
          <w:color w:val="000000"/>
          <w:sz w:val="32"/>
          <w:szCs w:val="32"/>
        </w:rPr>
        <w:t>2.公务用车购置及运行维护费支出0万元。</w:t>
      </w:r>
    </w:p>
    <w:p>
      <w:pPr>
        <w:spacing w:line="578" w:lineRule="exact"/>
        <w:ind w:firstLine="640"/>
        <w:rPr>
          <w:rFonts w:eastAsia="方正仿宋简体"/>
          <w:b/>
          <w:color w:val="000000"/>
          <w:sz w:val="32"/>
          <w:szCs w:val="32"/>
        </w:rPr>
      </w:pPr>
      <w:r>
        <w:rPr>
          <w:rFonts w:eastAsia="方正仿宋简体"/>
          <w:b/>
          <w:color w:val="000000"/>
          <w:sz w:val="32"/>
          <w:szCs w:val="32"/>
        </w:rPr>
        <w:t>3、2020年“三公”经费财政拨款支出决算中，公务接待费支出决算4.86万元，占100%。具体情况如下：</w:t>
      </w:r>
    </w:p>
    <w:p>
      <w:pPr>
        <w:spacing w:line="578" w:lineRule="exact"/>
        <w:ind w:firstLine="640"/>
        <w:rPr>
          <w:rFonts w:eastAsia="方正仿宋简体"/>
          <w:b/>
          <w:sz w:val="32"/>
          <w:szCs w:val="32"/>
        </w:rPr>
      </w:pPr>
      <w:r>
        <w:rPr>
          <w:rFonts w:eastAsia="方正仿宋简体"/>
          <w:b/>
          <w:sz w:val="32"/>
          <w:szCs w:val="32"/>
        </w:rPr>
        <w:t>公务接待费支出4.86万元，</w:t>
      </w:r>
      <w:r>
        <w:rPr>
          <w:rStyle w:val="15"/>
          <w:rFonts w:eastAsia="方正仿宋简体"/>
          <w:bCs/>
          <w:sz w:val="32"/>
          <w:szCs w:val="32"/>
        </w:rPr>
        <w:t>完成预算100%。</w:t>
      </w:r>
      <w:r>
        <w:rPr>
          <w:rFonts w:eastAsia="方正仿宋简体"/>
          <w:b/>
          <w:sz w:val="32"/>
          <w:szCs w:val="32"/>
        </w:rPr>
        <w:t>公务接待费支出决算比2019年减少1.14万元，减少19%。</w:t>
      </w:r>
    </w:p>
    <w:p>
      <w:pPr>
        <w:spacing w:line="578" w:lineRule="exact"/>
        <w:ind w:firstLine="640"/>
        <w:outlineLvl w:val="1"/>
        <w:rPr>
          <w:rFonts w:eastAsia="方正黑体简体"/>
          <w:b/>
          <w:color w:val="000000"/>
          <w:sz w:val="32"/>
          <w:szCs w:val="32"/>
        </w:rPr>
      </w:pPr>
      <w:r>
        <w:rPr>
          <w:rFonts w:eastAsia="方正黑体简体"/>
          <w:b/>
          <w:color w:val="000000"/>
          <w:sz w:val="32"/>
          <w:szCs w:val="32"/>
        </w:rPr>
        <w:t>八、政府性基金预算支出决算情况说明</w:t>
      </w:r>
    </w:p>
    <w:p>
      <w:pPr>
        <w:spacing w:line="578" w:lineRule="exact"/>
        <w:ind w:firstLine="640"/>
        <w:rPr>
          <w:rFonts w:eastAsia="方正仿宋简体"/>
          <w:b/>
          <w:color w:val="000000"/>
          <w:sz w:val="32"/>
          <w:szCs w:val="32"/>
        </w:rPr>
      </w:pPr>
      <w:r>
        <w:rPr>
          <w:rFonts w:eastAsia="方正仿宋简体"/>
          <w:b/>
          <w:color w:val="000000"/>
          <w:sz w:val="32"/>
          <w:szCs w:val="32"/>
        </w:rPr>
        <w:t>2020年政府性基金预算拨款支出0万元。</w:t>
      </w:r>
    </w:p>
    <w:p>
      <w:pPr>
        <w:numPr>
          <w:ilvl w:val="0"/>
          <w:numId w:val="4"/>
        </w:numPr>
        <w:spacing w:line="578" w:lineRule="exact"/>
        <w:ind w:firstLine="640"/>
        <w:outlineLvl w:val="1"/>
        <w:rPr>
          <w:rFonts w:eastAsia="方正黑体简体"/>
          <w:b/>
          <w:color w:val="000000"/>
          <w:sz w:val="32"/>
          <w:szCs w:val="32"/>
        </w:rPr>
      </w:pPr>
      <w:r>
        <w:rPr>
          <w:rFonts w:eastAsia="方正黑体简体"/>
          <w:b/>
          <w:color w:val="000000"/>
          <w:sz w:val="32"/>
          <w:szCs w:val="32"/>
        </w:rPr>
        <w:t>国有资本经营预算支出决算情况说明</w:t>
      </w:r>
    </w:p>
    <w:p>
      <w:pPr>
        <w:spacing w:line="578" w:lineRule="exact"/>
        <w:ind w:firstLine="640"/>
        <w:rPr>
          <w:rFonts w:eastAsia="方正仿宋简体"/>
          <w:b/>
          <w:color w:val="000000"/>
          <w:sz w:val="32"/>
          <w:szCs w:val="32"/>
        </w:rPr>
      </w:pPr>
      <w:r>
        <w:rPr>
          <w:rFonts w:eastAsia="方正仿宋简体"/>
          <w:b/>
          <w:color w:val="000000"/>
          <w:sz w:val="32"/>
          <w:szCs w:val="32"/>
        </w:rPr>
        <w:t>2020年国有资本经营预算拨款支出0万元。</w:t>
      </w:r>
    </w:p>
    <w:p>
      <w:pPr>
        <w:numPr>
          <w:ilvl w:val="0"/>
          <w:numId w:val="4"/>
        </w:numPr>
        <w:spacing w:line="550" w:lineRule="exact"/>
        <w:ind w:firstLine="640"/>
        <w:outlineLvl w:val="1"/>
        <w:rPr>
          <w:rFonts w:eastAsia="方正黑体简体"/>
          <w:b/>
          <w:color w:val="000000"/>
          <w:sz w:val="32"/>
          <w:szCs w:val="32"/>
        </w:rPr>
      </w:pPr>
      <w:r>
        <w:rPr>
          <w:rFonts w:eastAsia="方正黑体简体"/>
          <w:b/>
          <w:color w:val="000000"/>
          <w:sz w:val="32"/>
          <w:szCs w:val="32"/>
        </w:rPr>
        <w:t>其他重要事项的情况说明</w:t>
      </w:r>
    </w:p>
    <w:p>
      <w:pPr>
        <w:spacing w:line="550" w:lineRule="exact"/>
        <w:ind w:firstLine="643" w:firstLineChars="200"/>
        <w:outlineLvl w:val="2"/>
        <w:rPr>
          <w:rFonts w:eastAsia="方正楷体简体"/>
          <w:b/>
          <w:color w:val="000000"/>
          <w:sz w:val="32"/>
          <w:szCs w:val="32"/>
        </w:rPr>
      </w:pPr>
      <w:r>
        <w:rPr>
          <w:rFonts w:eastAsia="方正楷体简体"/>
          <w:b/>
          <w:color w:val="000000"/>
          <w:sz w:val="32"/>
          <w:szCs w:val="32"/>
        </w:rPr>
        <w:t>（一）机关运行经费支出情况</w:t>
      </w:r>
    </w:p>
    <w:p>
      <w:pPr>
        <w:spacing w:line="550" w:lineRule="exact"/>
        <w:ind w:firstLine="640"/>
        <w:rPr>
          <w:rFonts w:eastAsia="方正仿宋简体"/>
          <w:b/>
          <w:sz w:val="32"/>
          <w:szCs w:val="32"/>
        </w:rPr>
      </w:pPr>
      <w:r>
        <w:rPr>
          <w:rFonts w:eastAsia="方正仿宋简体"/>
          <w:b/>
          <w:sz w:val="32"/>
          <w:szCs w:val="32"/>
        </w:rPr>
        <w:t>2020年，机关运行经费支出52万元，比2019年增加9.61万元，减少22.67%。主要原因是新进人员2人</w:t>
      </w:r>
      <w:r>
        <w:rPr>
          <w:rFonts w:eastAsia="方正仿宋简体"/>
          <w:b/>
          <w:color w:val="000000"/>
          <w:sz w:val="32"/>
          <w:szCs w:val="32"/>
        </w:rPr>
        <w:t>。</w:t>
      </w:r>
    </w:p>
    <w:p>
      <w:pPr>
        <w:spacing w:line="550" w:lineRule="exact"/>
        <w:ind w:firstLine="643" w:firstLineChars="200"/>
        <w:outlineLvl w:val="2"/>
        <w:rPr>
          <w:rFonts w:eastAsia="方正楷体简体"/>
          <w:b/>
          <w:color w:val="000000"/>
          <w:sz w:val="32"/>
          <w:szCs w:val="32"/>
        </w:rPr>
      </w:pPr>
      <w:r>
        <w:rPr>
          <w:rFonts w:eastAsia="方正楷体简体"/>
          <w:b/>
          <w:color w:val="000000"/>
          <w:sz w:val="32"/>
          <w:szCs w:val="32"/>
        </w:rPr>
        <w:t>（二）政府采购支出情况</w:t>
      </w:r>
    </w:p>
    <w:p>
      <w:pPr>
        <w:spacing w:line="550" w:lineRule="exact"/>
        <w:ind w:firstLine="643" w:firstLineChars="200"/>
        <w:rPr>
          <w:rFonts w:eastAsia="方正仿宋简体"/>
          <w:b/>
          <w:color w:val="000000"/>
          <w:sz w:val="32"/>
          <w:szCs w:val="32"/>
        </w:rPr>
      </w:pPr>
      <w:r>
        <w:rPr>
          <w:rFonts w:eastAsia="方正仿宋简体"/>
          <w:b/>
          <w:color w:val="000000"/>
          <w:sz w:val="32"/>
          <w:szCs w:val="32"/>
        </w:rPr>
        <w:t>2020年，政府采购支出总额2.66万元。</w:t>
      </w:r>
    </w:p>
    <w:p>
      <w:pPr>
        <w:spacing w:line="550" w:lineRule="exact"/>
        <w:ind w:firstLine="643" w:firstLineChars="200"/>
        <w:outlineLvl w:val="2"/>
        <w:rPr>
          <w:rFonts w:eastAsia="方正楷体简体"/>
          <w:b/>
          <w:color w:val="000000"/>
          <w:sz w:val="32"/>
          <w:szCs w:val="32"/>
        </w:rPr>
      </w:pPr>
      <w:r>
        <w:rPr>
          <w:rFonts w:eastAsia="方正楷体简体"/>
          <w:b/>
          <w:color w:val="000000"/>
          <w:sz w:val="32"/>
          <w:szCs w:val="32"/>
        </w:rPr>
        <w:t>（三）国有资产占有使用情况</w:t>
      </w:r>
    </w:p>
    <w:p>
      <w:pPr>
        <w:autoSpaceDE w:val="0"/>
        <w:autoSpaceDN w:val="0"/>
        <w:adjustRightInd w:val="0"/>
        <w:spacing w:line="550" w:lineRule="exact"/>
        <w:ind w:firstLine="643" w:firstLineChars="200"/>
        <w:jc w:val="left"/>
        <w:rPr>
          <w:rFonts w:eastAsia="方正仿宋简体"/>
          <w:b/>
          <w:color w:val="000000"/>
          <w:sz w:val="32"/>
          <w:szCs w:val="32"/>
        </w:rPr>
      </w:pPr>
      <w:r>
        <w:rPr>
          <w:rFonts w:eastAsia="方正仿宋简体"/>
          <w:b/>
          <w:color w:val="000000"/>
          <w:sz w:val="32"/>
          <w:szCs w:val="32"/>
        </w:rPr>
        <w:t>截至2020年12月31日，共有车辆0辆。</w:t>
      </w:r>
      <w:bookmarkStart w:id="12" w:name="_Toc15396610"/>
      <w:bookmarkStart w:id="13" w:name="_Toc15377218"/>
    </w:p>
    <w:bookmarkEnd w:id="12"/>
    <w:bookmarkEnd w:id="13"/>
    <w:p>
      <w:pPr>
        <w:spacing w:line="550" w:lineRule="exact"/>
        <w:ind w:firstLine="643" w:firstLineChars="200"/>
        <w:outlineLvl w:val="2"/>
        <w:rPr>
          <w:rFonts w:eastAsia="方正楷体简体"/>
          <w:b/>
          <w:color w:val="000000"/>
          <w:sz w:val="32"/>
          <w:szCs w:val="32"/>
        </w:rPr>
      </w:pPr>
      <w:r>
        <w:rPr>
          <w:rFonts w:eastAsia="方正楷体简体"/>
          <w:b/>
          <w:color w:val="000000"/>
          <w:sz w:val="32"/>
          <w:szCs w:val="32"/>
        </w:rPr>
        <w:t>（四）预算绩效管理情况。</w:t>
      </w:r>
    </w:p>
    <w:p>
      <w:pPr>
        <w:spacing w:line="550" w:lineRule="exact"/>
        <w:ind w:firstLine="643" w:firstLineChars="200"/>
        <w:rPr>
          <w:rFonts w:eastAsia="方正仿宋简体"/>
          <w:b/>
          <w:sz w:val="32"/>
          <w:szCs w:val="32"/>
        </w:rPr>
      </w:pPr>
      <w:r>
        <w:rPr>
          <w:rFonts w:eastAsia="方正仿宋简体"/>
          <w:b/>
          <w:sz w:val="32"/>
          <w:szCs w:val="32"/>
        </w:rPr>
        <w:t>根据预算绩效管理要求，本部门（单位）在年初预算编制阶段，组织对一般行政管理事务开展了预算事前绩效评估，对6个项目编制了绩效目标，预算执行过程中，选取1个项目开展绩效监控，年终执行完毕后，对1个项目开展了绩效目标完成情况自评。</w:t>
      </w:r>
    </w:p>
    <w:p>
      <w:pPr>
        <w:snapToGrid w:val="0"/>
        <w:spacing w:line="550" w:lineRule="exact"/>
        <w:ind w:firstLine="643" w:firstLineChars="200"/>
        <w:rPr>
          <w:rFonts w:eastAsia="仿宋_GB2312"/>
          <w:sz w:val="32"/>
          <w:szCs w:val="32"/>
        </w:rPr>
      </w:pPr>
      <w:r>
        <w:rPr>
          <w:rFonts w:eastAsia="方正仿宋简体"/>
          <w:b/>
          <w:sz w:val="32"/>
          <w:szCs w:val="32"/>
        </w:rPr>
        <w:t>本部门按要求对2020年部门整体支出开展绩效自评，从评价情况来看2020年圆满完成</w:t>
      </w:r>
      <w:r>
        <w:rPr>
          <w:rFonts w:eastAsia="方正仿宋简体"/>
          <w:b/>
          <w:bCs/>
          <w:sz w:val="32"/>
          <w:szCs w:val="32"/>
        </w:rPr>
        <w:t>十三届县委第7轮、第8轮对24个单位的常规巡察、省委第五巡视组对泸县开展为期1个月的常规巡视，按照省委、市委巡视巡察上下联动有关要求，派出1个巡察组配合省委对县法院开展上下联动巡视巡察；配合市委组建1个联动巡察组对玉蟾街道开展提级巡察；组建1个机动巡察组对福集等5个镇开展脱贫攻坚整改情况机动巡察；</w:t>
      </w:r>
      <w:r>
        <w:rPr>
          <w:rFonts w:eastAsia="方正仿宋简体"/>
          <w:b/>
          <w:sz w:val="32"/>
          <w:szCs w:val="32"/>
        </w:rPr>
        <w:t>派出巡察组1个（13人）对纳溪区区委办公室、区政府办公室开展市+区县交叉巡察。</w:t>
      </w:r>
    </w:p>
    <w:p>
      <w:pPr>
        <w:widowControl/>
        <w:jc w:val="center"/>
        <w:textAlignment w:val="center"/>
        <w:rPr>
          <w:rFonts w:hint="eastAsia" w:eastAsia="方正小标宋简体"/>
          <w:b/>
          <w:bCs/>
          <w:color w:val="000000"/>
          <w:kern w:val="0"/>
          <w:sz w:val="36"/>
          <w:szCs w:val="36"/>
          <w:lang w:eastAsia="zh-CN"/>
        </w:rPr>
      </w:pPr>
      <w:r>
        <w:rPr>
          <w:rFonts w:eastAsia="方正小标宋简体"/>
          <w:b/>
          <w:bCs/>
          <w:color w:val="000000"/>
          <w:kern w:val="0"/>
          <w:sz w:val="36"/>
          <w:szCs w:val="36"/>
        </w:rPr>
        <w:t>项目绩效目标完成情况表</w:t>
      </w:r>
    </w:p>
    <w:p>
      <w:pPr>
        <w:widowControl/>
        <w:jc w:val="center"/>
        <w:textAlignment w:val="center"/>
        <w:rPr>
          <w:rFonts w:eastAsia="方正小标宋简体"/>
          <w:color w:val="000000"/>
          <w:kern w:val="0"/>
          <w:sz w:val="36"/>
          <w:szCs w:val="36"/>
        </w:rPr>
      </w:pPr>
      <w:r>
        <w:rPr>
          <w:rFonts w:eastAsia="方正小标宋简体"/>
          <w:color w:val="000000"/>
          <w:kern w:val="0"/>
          <w:sz w:val="36"/>
          <w:szCs w:val="36"/>
        </w:rPr>
        <w:t>(2020年度)</w:t>
      </w:r>
    </w:p>
    <w:tbl>
      <w:tblPr>
        <w:tblStyle w:val="13"/>
        <w:tblpPr w:leftFromText="180" w:rightFromText="180" w:vertAnchor="text" w:horzAnchor="margin" w:tblpXSpec="center" w:tblpY="350"/>
        <w:tblOverlap w:val="never"/>
        <w:tblW w:w="9513" w:type="dxa"/>
        <w:tblInd w:w="0" w:type="dxa"/>
        <w:tblLayout w:type="fixed"/>
        <w:tblCellMar>
          <w:top w:w="0" w:type="dxa"/>
          <w:left w:w="0" w:type="dxa"/>
          <w:bottom w:w="0" w:type="dxa"/>
          <w:right w:w="0" w:type="dxa"/>
        </w:tblCellMar>
      </w:tblPr>
      <w:tblGrid>
        <w:gridCol w:w="1008"/>
        <w:gridCol w:w="992"/>
        <w:gridCol w:w="850"/>
        <w:gridCol w:w="284"/>
        <w:gridCol w:w="1559"/>
        <w:gridCol w:w="2410"/>
        <w:gridCol w:w="465"/>
        <w:gridCol w:w="1945"/>
      </w:tblGrid>
      <w:tr>
        <w:tblPrEx>
          <w:tblCellMar>
            <w:top w:w="0" w:type="dxa"/>
            <w:left w:w="0" w:type="dxa"/>
            <w:bottom w:w="0" w:type="dxa"/>
            <w:right w:w="0" w:type="dxa"/>
          </w:tblCellMar>
        </w:tblPrEx>
        <w:trPr>
          <w:trHeight w:val="707" w:hRule="atLeast"/>
        </w:trPr>
        <w:tc>
          <w:tcPr>
            <w:tcW w:w="31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项目名称</w:t>
            </w:r>
          </w:p>
        </w:tc>
        <w:tc>
          <w:tcPr>
            <w:tcW w:w="637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巡察业务经费</w:t>
            </w:r>
          </w:p>
        </w:tc>
      </w:tr>
      <w:tr>
        <w:tblPrEx>
          <w:tblCellMar>
            <w:top w:w="0" w:type="dxa"/>
            <w:left w:w="0" w:type="dxa"/>
            <w:bottom w:w="0" w:type="dxa"/>
            <w:right w:w="0" w:type="dxa"/>
          </w:tblCellMar>
        </w:tblPrEx>
        <w:trPr>
          <w:trHeight w:val="567" w:hRule="atLeast"/>
        </w:trPr>
        <w:tc>
          <w:tcPr>
            <w:tcW w:w="313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预算单位</w:t>
            </w:r>
          </w:p>
        </w:tc>
        <w:tc>
          <w:tcPr>
            <w:tcW w:w="637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泸县县委巡察办</w:t>
            </w:r>
          </w:p>
        </w:tc>
      </w:tr>
      <w:tr>
        <w:tblPrEx>
          <w:tblCellMar>
            <w:top w:w="0" w:type="dxa"/>
            <w:left w:w="0" w:type="dxa"/>
            <w:bottom w:w="0" w:type="dxa"/>
            <w:right w:w="0" w:type="dxa"/>
          </w:tblCellMar>
        </w:tblPrEx>
        <w:trPr>
          <w:trHeight w:val="567" w:hRule="atLeast"/>
        </w:trPr>
        <w:tc>
          <w:tcPr>
            <w:tcW w:w="100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预算</w:t>
            </w:r>
          </w:p>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执行</w:t>
            </w:r>
          </w:p>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情况</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(万元)</w:t>
            </w: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预算数:</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c>
          <w:tcPr>
            <w:tcW w:w="28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执行数:</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110.26</w:t>
            </w:r>
          </w:p>
        </w:tc>
      </w:tr>
      <w:tr>
        <w:tblPrEx>
          <w:tblCellMar>
            <w:top w:w="0" w:type="dxa"/>
            <w:left w:w="0" w:type="dxa"/>
            <w:bottom w:w="0" w:type="dxa"/>
            <w:right w:w="0" w:type="dxa"/>
          </w:tblCellMar>
        </w:tblPrEx>
        <w:trPr>
          <w:trHeight w:val="567"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黑体简体"/>
                <w:b/>
                <w:color w:val="000000"/>
                <w:sz w:val="24"/>
              </w:rPr>
            </w:pP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其中-财政拨款:</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120</w:t>
            </w:r>
          </w:p>
        </w:tc>
        <w:tc>
          <w:tcPr>
            <w:tcW w:w="28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其中-财政拨款:</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110.26</w:t>
            </w:r>
          </w:p>
        </w:tc>
      </w:tr>
      <w:tr>
        <w:tblPrEx>
          <w:tblCellMar>
            <w:top w:w="0" w:type="dxa"/>
            <w:left w:w="0" w:type="dxa"/>
            <w:bottom w:w="0" w:type="dxa"/>
            <w:right w:w="0" w:type="dxa"/>
          </w:tblCellMar>
        </w:tblPrEx>
        <w:trPr>
          <w:trHeight w:val="567"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黑体简体"/>
                <w:b/>
                <w:color w:val="000000"/>
                <w:sz w:val="24"/>
              </w:rPr>
            </w:pPr>
          </w:p>
        </w:tc>
        <w:tc>
          <w:tcPr>
            <w:tcW w:w="21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其它资金:</w:t>
            </w:r>
          </w:p>
        </w:tc>
        <w:tc>
          <w:tcPr>
            <w:tcW w:w="15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0</w:t>
            </w:r>
          </w:p>
        </w:tc>
        <w:tc>
          <w:tcPr>
            <w:tcW w:w="28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其它资金:</w:t>
            </w: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80" w:lineRule="exact"/>
              <w:jc w:val="center"/>
              <w:rPr>
                <w:rFonts w:eastAsia="方正仿宋简体"/>
                <w:b/>
                <w:color w:val="000000"/>
                <w:sz w:val="24"/>
              </w:rPr>
            </w:pPr>
            <w:r>
              <w:rPr>
                <w:rFonts w:eastAsia="方正仿宋简体"/>
                <w:b/>
                <w:color w:val="000000"/>
                <w:sz w:val="24"/>
              </w:rPr>
              <w:t>0</w:t>
            </w:r>
          </w:p>
        </w:tc>
      </w:tr>
      <w:tr>
        <w:tblPrEx>
          <w:tblCellMar>
            <w:top w:w="0" w:type="dxa"/>
            <w:left w:w="0" w:type="dxa"/>
            <w:bottom w:w="0" w:type="dxa"/>
            <w:right w:w="0" w:type="dxa"/>
          </w:tblCellMar>
        </w:tblPrEx>
        <w:trPr>
          <w:trHeight w:val="681" w:hRule="atLeast"/>
        </w:trPr>
        <w:tc>
          <w:tcPr>
            <w:tcW w:w="100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年度</w:t>
            </w:r>
          </w:p>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目标</w:t>
            </w:r>
          </w:p>
          <w:p>
            <w:pPr>
              <w:widowControl/>
              <w:spacing w:line="300" w:lineRule="exact"/>
              <w:jc w:val="center"/>
              <w:textAlignment w:val="center"/>
              <w:rPr>
                <w:rFonts w:eastAsia="方正黑体简体"/>
                <w:b/>
                <w:color w:val="000000"/>
                <w:kern w:val="0"/>
                <w:sz w:val="24"/>
              </w:rPr>
            </w:pPr>
            <w:r>
              <w:rPr>
                <w:rFonts w:eastAsia="方正黑体简体"/>
                <w:b/>
                <w:color w:val="000000"/>
                <w:kern w:val="0"/>
                <w:sz w:val="24"/>
              </w:rPr>
              <w:t>完成</w:t>
            </w:r>
          </w:p>
          <w:p>
            <w:pPr>
              <w:widowControl/>
              <w:spacing w:line="300" w:lineRule="exact"/>
              <w:jc w:val="center"/>
              <w:textAlignment w:val="center"/>
              <w:rPr>
                <w:rFonts w:eastAsia="方正黑体简体"/>
                <w:b/>
                <w:color w:val="000000"/>
                <w:sz w:val="24"/>
              </w:rPr>
            </w:pPr>
            <w:r>
              <w:rPr>
                <w:rFonts w:eastAsia="方正黑体简体"/>
                <w:b/>
                <w:color w:val="000000"/>
                <w:kern w:val="0"/>
                <w:sz w:val="24"/>
              </w:rPr>
              <w:t>情况</w:t>
            </w:r>
          </w:p>
        </w:tc>
        <w:tc>
          <w:tcPr>
            <w:tcW w:w="368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预期目标</w:t>
            </w:r>
          </w:p>
        </w:tc>
        <w:tc>
          <w:tcPr>
            <w:tcW w:w="48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实际完成目标</w:t>
            </w:r>
          </w:p>
        </w:tc>
      </w:tr>
      <w:tr>
        <w:tblPrEx>
          <w:tblCellMar>
            <w:top w:w="0" w:type="dxa"/>
            <w:left w:w="0" w:type="dxa"/>
            <w:bottom w:w="0" w:type="dxa"/>
            <w:right w:w="0" w:type="dxa"/>
          </w:tblCellMar>
        </w:tblPrEx>
        <w:trPr>
          <w:trHeight w:val="691" w:hRule="atLeast"/>
        </w:trPr>
        <w:tc>
          <w:tcPr>
            <w:tcW w:w="100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eastAsia="方正黑体简体"/>
                <w:b/>
                <w:color w:val="000000"/>
                <w:sz w:val="24"/>
              </w:rPr>
            </w:pPr>
          </w:p>
        </w:tc>
        <w:tc>
          <w:tcPr>
            <w:tcW w:w="368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保障2020年两轮常规巡察及交叉巡察等巡察任务圆满完成</w:t>
            </w:r>
          </w:p>
        </w:tc>
        <w:tc>
          <w:tcPr>
            <w:tcW w:w="48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sz w:val="24"/>
              </w:rPr>
              <w:t>圆满完成2020年两轮常规巡察及交叉巡察等巡察任务</w:t>
            </w:r>
          </w:p>
        </w:tc>
      </w:tr>
      <w:tr>
        <w:tblPrEx>
          <w:tblCellMar>
            <w:top w:w="0" w:type="dxa"/>
            <w:left w:w="0" w:type="dxa"/>
            <w:bottom w:w="0" w:type="dxa"/>
            <w:right w:w="0" w:type="dxa"/>
          </w:tblCellMar>
        </w:tblPrEx>
        <w:trPr>
          <w:trHeight w:val="921" w:hRule="atLeast"/>
        </w:trPr>
        <w:tc>
          <w:tcPr>
            <w:tcW w:w="100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eastAsia="方正黑体简体"/>
                <w:b/>
                <w:color w:val="000000"/>
                <w:sz w:val="24"/>
              </w:rPr>
            </w:pPr>
            <w:r>
              <w:rPr>
                <w:rFonts w:eastAsia="方正黑体简体"/>
                <w:b/>
                <w:color w:val="000000"/>
                <w:sz w:val="24"/>
              </w:rPr>
              <w:t>绩效</w:t>
            </w:r>
          </w:p>
          <w:p>
            <w:pPr>
              <w:widowControl/>
              <w:spacing w:line="400" w:lineRule="exact"/>
              <w:jc w:val="center"/>
              <w:textAlignment w:val="center"/>
              <w:rPr>
                <w:rFonts w:eastAsia="方正黑体简体"/>
                <w:b/>
                <w:color w:val="000000"/>
                <w:sz w:val="24"/>
              </w:rPr>
            </w:pPr>
            <w:r>
              <w:rPr>
                <w:rFonts w:eastAsia="方正黑体简体"/>
                <w:b/>
                <w:color w:val="000000"/>
                <w:sz w:val="24"/>
              </w:rPr>
              <w:t>指标</w:t>
            </w:r>
          </w:p>
          <w:p>
            <w:pPr>
              <w:widowControl/>
              <w:spacing w:line="400" w:lineRule="exact"/>
              <w:jc w:val="center"/>
              <w:textAlignment w:val="center"/>
              <w:rPr>
                <w:rFonts w:eastAsia="方正黑体简体"/>
                <w:b/>
                <w:color w:val="000000"/>
                <w:sz w:val="24"/>
              </w:rPr>
            </w:pPr>
            <w:r>
              <w:rPr>
                <w:rFonts w:eastAsia="方正黑体简体"/>
                <w:b/>
                <w:color w:val="000000"/>
                <w:sz w:val="24"/>
              </w:rPr>
              <w:t>完成</w:t>
            </w:r>
          </w:p>
          <w:p>
            <w:pPr>
              <w:widowControl/>
              <w:spacing w:line="400" w:lineRule="exact"/>
              <w:jc w:val="center"/>
              <w:textAlignment w:val="center"/>
              <w:rPr>
                <w:rFonts w:eastAsia="方正黑体简体"/>
                <w:b/>
                <w:color w:val="000000"/>
                <w:sz w:val="24"/>
              </w:rPr>
            </w:pPr>
            <w:r>
              <w:rPr>
                <w:rFonts w:eastAsia="方正黑体简体"/>
                <w:b/>
                <w:color w:val="000000"/>
                <w:sz w:val="24"/>
              </w:rPr>
              <w:t>情况</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一级</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二级</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sz w:val="24"/>
              </w:rPr>
            </w:pPr>
            <w:r>
              <w:rPr>
                <w:rFonts w:eastAsia="方正黑体简体"/>
                <w:b/>
                <w:color w:val="000000"/>
                <w:kern w:val="0"/>
                <w:sz w:val="24"/>
              </w:rPr>
              <w:t>三级指标</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预期指标值(包含数字及文字描述)</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黑体简体"/>
                <w:b/>
                <w:color w:val="000000"/>
                <w:kern w:val="0"/>
                <w:sz w:val="24"/>
              </w:rPr>
            </w:pPr>
            <w:r>
              <w:rPr>
                <w:rFonts w:eastAsia="方正黑体简体"/>
                <w:b/>
                <w:color w:val="000000"/>
                <w:kern w:val="0"/>
                <w:sz w:val="24"/>
              </w:rPr>
              <w:t>实际完成指标值</w:t>
            </w:r>
          </w:p>
          <w:p>
            <w:pPr>
              <w:widowControl/>
              <w:spacing w:line="280" w:lineRule="exact"/>
              <w:jc w:val="center"/>
              <w:textAlignment w:val="center"/>
              <w:rPr>
                <w:rFonts w:eastAsia="方正黑体简体"/>
                <w:b/>
                <w:color w:val="000000"/>
                <w:sz w:val="24"/>
              </w:rPr>
            </w:pPr>
            <w:r>
              <w:rPr>
                <w:rFonts w:eastAsia="方正黑体简体"/>
                <w:b/>
                <w:color w:val="000000"/>
                <w:kern w:val="0"/>
                <w:sz w:val="24"/>
              </w:rPr>
              <w:t>(包含数字及文字描述)</w:t>
            </w:r>
          </w:p>
        </w:tc>
      </w:tr>
      <w:tr>
        <w:tblPrEx>
          <w:tblCellMar>
            <w:top w:w="0" w:type="dxa"/>
            <w:left w:w="0" w:type="dxa"/>
            <w:bottom w:w="0" w:type="dxa"/>
            <w:right w:w="0" w:type="dxa"/>
          </w:tblCellMar>
        </w:tblPrEx>
        <w:trPr>
          <w:trHeight w:val="1295"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数量</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完成2020年两轮常规巡察及交叉巡察等巡察任务圆满完成</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5"/>
              <w:adjustRightInd w:val="0"/>
              <w:snapToGrid w:val="0"/>
              <w:spacing w:before="93" w:line="280" w:lineRule="exact"/>
              <w:outlineLvl w:val="2"/>
              <w:rPr>
                <w:rFonts w:ascii="Times New Roman" w:eastAsia="方正仿宋简体"/>
                <w:b/>
                <w:color w:val="000000"/>
                <w:sz w:val="24"/>
              </w:rPr>
            </w:pPr>
            <w:r>
              <w:rPr>
                <w:rFonts w:ascii="Times New Roman" w:eastAsia="方正仿宋简体"/>
                <w:b/>
                <w:color w:val="000000"/>
                <w:sz w:val="24"/>
              </w:rPr>
              <w:t>完成2020年两轮常规巡察及交叉巡察等巡察任务。</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5"/>
              <w:adjustRightInd w:val="0"/>
              <w:snapToGrid w:val="0"/>
              <w:spacing w:before="93" w:line="280" w:lineRule="exact"/>
              <w:outlineLvl w:val="2"/>
              <w:rPr>
                <w:rFonts w:ascii="Times New Roman" w:eastAsia="方正仿宋简体"/>
                <w:b/>
                <w:color w:val="000000"/>
                <w:sz w:val="24"/>
              </w:rPr>
            </w:pPr>
            <w:r>
              <w:rPr>
                <w:rFonts w:ascii="Times New Roman" w:eastAsia="方正仿宋简体"/>
                <w:b/>
                <w:color w:val="000000"/>
                <w:sz w:val="24"/>
              </w:rPr>
              <w:t>完成2020年两轮常规巡察及交叉巡察等巡察任务。</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质量</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高质量完成巡察任务</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时效</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完成时间</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2020年12月31日前</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2020年12月31日前</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kern w:val="0"/>
                <w:sz w:val="24"/>
              </w:rPr>
            </w:pPr>
            <w:r>
              <w:rPr>
                <w:rFonts w:eastAsia="方正仿宋简体"/>
                <w:b/>
                <w:color w:val="000000"/>
                <w:kern w:val="0"/>
                <w:sz w:val="24"/>
              </w:rPr>
              <w:t>项目完成指标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成本</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三个巡察组巡察期间各种费用</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110.26万元</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110.26万元</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kern w:val="0"/>
                <w:sz w:val="24"/>
              </w:rPr>
            </w:pPr>
            <w:r>
              <w:rPr>
                <w:rFonts w:eastAsia="方正仿宋简体"/>
                <w:b/>
                <w:color w:val="000000"/>
                <w:kern w:val="0"/>
                <w:sz w:val="24"/>
              </w:rPr>
              <w:t>效益</w:t>
            </w:r>
          </w:p>
          <w:p>
            <w:pPr>
              <w:widowControl/>
              <w:spacing w:line="280" w:lineRule="exact"/>
              <w:jc w:val="center"/>
              <w:textAlignment w:val="center"/>
              <w:rPr>
                <w:rFonts w:eastAsia="方正仿宋简体"/>
                <w:b/>
                <w:color w:val="000000"/>
                <w:sz w:val="24"/>
              </w:rPr>
            </w:pPr>
            <w:r>
              <w:rPr>
                <w:rFonts w:eastAsia="方正仿宋简体"/>
                <w:b/>
                <w:color w:val="000000"/>
                <w:kern w:val="0"/>
                <w:sz w:val="24"/>
              </w:rPr>
              <w:t>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社会效益指标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发现问题，</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促进发展</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发现问题，促进发展</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发现问题，促进发展</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满意度指标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巡察组</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&gt;97%</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&gt;98%</w:t>
            </w:r>
          </w:p>
        </w:tc>
      </w:tr>
      <w:tr>
        <w:tblPrEx>
          <w:tblCellMar>
            <w:top w:w="0" w:type="dxa"/>
            <w:left w:w="0" w:type="dxa"/>
            <w:bottom w:w="0" w:type="dxa"/>
            <w:right w:w="0" w:type="dxa"/>
          </w:tblCellMar>
        </w:tblPrEx>
        <w:trPr>
          <w:trHeight w:val="624" w:hRule="atLeast"/>
        </w:trPr>
        <w:tc>
          <w:tcPr>
            <w:tcW w:w="1008"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eastAsia="方正仿宋简体"/>
                <w:b/>
                <w:color w:val="000000"/>
                <w:sz w:val="24"/>
              </w:rPr>
            </w:pPr>
            <w:r>
              <w:rPr>
                <w:rFonts w:eastAsia="方正仿宋简体"/>
                <w:b/>
                <w:color w:val="000000"/>
                <w:kern w:val="0"/>
                <w:sz w:val="24"/>
              </w:rPr>
              <w:t>满意度指标</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满意度指标</w:t>
            </w:r>
          </w:p>
        </w:tc>
        <w:tc>
          <w:tcPr>
            <w:tcW w:w="184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color w:val="000000"/>
              </w:rPr>
            </w:pPr>
            <w:r>
              <w:rPr>
                <w:rFonts w:eastAsia="方正仿宋简体"/>
                <w:b/>
                <w:color w:val="000000"/>
              </w:rPr>
              <w:t>预算单位</w:t>
            </w:r>
          </w:p>
          <w:p>
            <w:pPr>
              <w:pStyle w:val="12"/>
              <w:widowControl/>
              <w:spacing w:beforeAutospacing="0" w:afterAutospacing="0" w:line="280" w:lineRule="exact"/>
              <w:jc w:val="center"/>
              <w:textAlignment w:val="center"/>
              <w:rPr>
                <w:rFonts w:eastAsia="方正仿宋简体"/>
                <w:b/>
              </w:rPr>
            </w:pPr>
            <w:r>
              <w:rPr>
                <w:rFonts w:eastAsia="方正仿宋简体"/>
                <w:b/>
                <w:color w:val="000000"/>
              </w:rPr>
              <w:t>满意度</w:t>
            </w:r>
          </w:p>
        </w:tc>
        <w:tc>
          <w:tcPr>
            <w:tcW w:w="2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&gt;96%</w:t>
            </w:r>
          </w:p>
        </w:tc>
        <w:tc>
          <w:tcPr>
            <w:tcW w:w="241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widowControl/>
              <w:spacing w:beforeAutospacing="0" w:afterAutospacing="0" w:line="280" w:lineRule="exact"/>
              <w:jc w:val="center"/>
              <w:textAlignment w:val="center"/>
              <w:rPr>
                <w:rFonts w:eastAsia="方正仿宋简体"/>
                <w:b/>
              </w:rPr>
            </w:pPr>
            <w:r>
              <w:rPr>
                <w:rFonts w:eastAsia="方正仿宋简体"/>
                <w:b/>
                <w:color w:val="000000"/>
              </w:rPr>
              <w:t>&gt;97%</w:t>
            </w:r>
          </w:p>
        </w:tc>
      </w:tr>
    </w:tbl>
    <w:p>
      <w:pPr>
        <w:spacing w:beforeLines="50" w:line="570" w:lineRule="exact"/>
        <w:ind w:left="629"/>
        <w:rPr>
          <w:rFonts w:eastAsia="方正仿宋简体"/>
          <w:b/>
          <w:sz w:val="32"/>
          <w:szCs w:val="32"/>
        </w:rPr>
      </w:pPr>
      <w:r>
        <w:rPr>
          <w:rFonts w:eastAsia="方正仿宋简体"/>
          <w:b/>
          <w:sz w:val="32"/>
          <w:szCs w:val="32"/>
        </w:rPr>
        <w:t>2.部门绩效评价结果。</w:t>
      </w:r>
    </w:p>
    <w:p>
      <w:pPr>
        <w:spacing w:line="570" w:lineRule="exact"/>
        <w:ind w:firstLine="643" w:firstLineChars="200"/>
        <w:rPr>
          <w:rFonts w:eastAsia="方正仿宋简体"/>
          <w:b/>
          <w:sz w:val="32"/>
          <w:szCs w:val="32"/>
        </w:rPr>
      </w:pPr>
      <w:r>
        <w:rPr>
          <w:rFonts w:eastAsia="方正仿宋简体"/>
          <w:b/>
          <w:sz w:val="32"/>
          <w:szCs w:val="32"/>
        </w:rPr>
        <w:t>本部门按要求对2020年部门整体支出绩效评价情况开展自评，《泸县县委巡察办2020年部门整体支出绩效评价报告》见附件（附件1）。</w:t>
      </w:r>
    </w:p>
    <w:p>
      <w:pPr>
        <w:spacing w:line="570" w:lineRule="exact"/>
        <w:ind w:firstLine="643" w:firstLineChars="200"/>
        <w:rPr>
          <w:rFonts w:eastAsia="方正仿宋简体"/>
          <w:b/>
          <w:sz w:val="32"/>
          <w:szCs w:val="32"/>
        </w:rPr>
      </w:pPr>
      <w:r>
        <w:rPr>
          <w:rFonts w:eastAsia="方正仿宋简体"/>
          <w:b/>
          <w:sz w:val="32"/>
          <w:szCs w:val="32"/>
        </w:rPr>
        <w:t>本部门自行组织对巡察业务经费项目开展了绩效评价，《2020年巡察业务经费项目绩效评价报告》见附件（附件2）。</w:t>
      </w: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sz w:val="32"/>
          <w:szCs w:val="32"/>
        </w:rPr>
      </w:pPr>
    </w:p>
    <w:p>
      <w:pPr>
        <w:spacing w:line="570" w:lineRule="exact"/>
        <w:ind w:firstLine="643" w:firstLineChars="200"/>
        <w:rPr>
          <w:rFonts w:eastAsia="方正仿宋简体"/>
          <w:b/>
          <w:color w:val="000000"/>
          <w:sz w:val="32"/>
          <w:szCs w:val="32"/>
        </w:rPr>
      </w:pPr>
    </w:p>
    <w:p>
      <w:pPr>
        <w:numPr>
          <w:ilvl w:val="0"/>
          <w:numId w:val="5"/>
        </w:numPr>
        <w:spacing w:line="600" w:lineRule="exact"/>
        <w:ind w:firstLine="540" w:firstLineChars="150"/>
        <w:jc w:val="center"/>
        <w:outlineLvl w:val="0"/>
        <w:rPr>
          <w:rStyle w:val="26"/>
          <w:rFonts w:eastAsia="方正小标宋简体"/>
          <w:sz w:val="36"/>
          <w:szCs w:val="36"/>
        </w:rPr>
      </w:pPr>
      <w:bookmarkStart w:id="14" w:name="_Toc15377225"/>
      <w:bookmarkStart w:id="15" w:name="_Toc15396613"/>
      <w:r>
        <w:rPr>
          <w:rFonts w:eastAsia="方正小标宋简体"/>
          <w:color w:val="000000"/>
          <w:sz w:val="36"/>
          <w:szCs w:val="36"/>
        </w:rPr>
        <w:t>名</w:t>
      </w:r>
      <w:r>
        <w:rPr>
          <w:rStyle w:val="26"/>
          <w:rFonts w:eastAsia="方正小标宋简体"/>
          <w:sz w:val="36"/>
          <w:szCs w:val="36"/>
        </w:rPr>
        <w:t>词解释</w:t>
      </w:r>
      <w:bookmarkEnd w:id="14"/>
      <w:bookmarkEnd w:id="15"/>
    </w:p>
    <w:p>
      <w:pPr>
        <w:spacing w:line="578" w:lineRule="exact"/>
        <w:jc w:val="left"/>
        <w:rPr>
          <w:rFonts w:eastAsia="方正仿宋简体"/>
          <w:b/>
          <w:color w:val="000000"/>
          <w:sz w:val="44"/>
          <w:szCs w:val="44"/>
        </w:rPr>
      </w:pP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1.财政拨款收入：指单位从同级财政部门取得的财政预算资金。</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2.事业收入：指事业单位开展专业业务活动及辅助活动取得的收入。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3.经营收入：指事业单位在专业业务活动及其辅助活动之外开展非独立核算经营活动取得的收入。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4.其他收入：指单位取得的除上述收入以外的各项收入。</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 xml:space="preserve">6.年初结转和结余：指以前年度尚未完成、结转到本年按有关规定继续使用的资金。 </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7.结余分配：指事业单位按照事业单位会计制度的规定从非财政补助结余中分配的事业基金和职工福利基金等。</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8、年末结转和结余：指单位按有关规定结转到下年或以后年度继续使用的资金。</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9.</w:t>
      </w:r>
      <w:r>
        <w:rPr>
          <w:rFonts w:eastAsia="方正仿宋简体"/>
          <w:b/>
          <w:sz w:val="31"/>
          <w:szCs w:val="31"/>
          <w:shd w:val="clear" w:color="auto" w:fill="FFFFFF"/>
        </w:rPr>
        <w:t>一般公共服务（类）纪检监察事务（款）行政运行（项）（2011101）: 指行政单位（包括实行公务员管理的事业单位）的基本支出。</w:t>
      </w:r>
    </w:p>
    <w:p>
      <w:pPr>
        <w:spacing w:line="578" w:lineRule="exact"/>
        <w:ind w:firstLine="643" w:firstLineChars="200"/>
        <w:rPr>
          <w:rFonts w:eastAsia="方正仿宋简体"/>
          <w:b/>
          <w:sz w:val="31"/>
          <w:szCs w:val="31"/>
          <w:shd w:val="clear" w:color="auto" w:fill="FFFFFF"/>
        </w:rPr>
      </w:pPr>
      <w:r>
        <w:rPr>
          <w:rFonts w:eastAsia="方正仿宋简体"/>
          <w:b/>
          <w:color w:val="000000"/>
          <w:sz w:val="32"/>
          <w:szCs w:val="32"/>
        </w:rPr>
        <w:t>10.</w:t>
      </w:r>
      <w:r>
        <w:rPr>
          <w:rFonts w:eastAsia="方正仿宋简体"/>
          <w:b/>
          <w:sz w:val="31"/>
          <w:szCs w:val="31"/>
          <w:shd w:val="clear" w:color="auto" w:fill="FFFFFF"/>
        </w:rPr>
        <w:t>一般公共服务（类）纪检监察事务（款）一般行政管理事务（项）（2011102）: 指为完成巡察工作任务而发生的住宿费、生活费等巡察业务经费。</w:t>
      </w:r>
    </w:p>
    <w:p>
      <w:pPr>
        <w:spacing w:line="578" w:lineRule="exact"/>
        <w:ind w:firstLine="622" w:firstLineChars="200"/>
        <w:rPr>
          <w:rFonts w:eastAsia="方正仿宋简体"/>
          <w:b/>
          <w:color w:val="000000"/>
          <w:sz w:val="32"/>
          <w:szCs w:val="32"/>
        </w:rPr>
      </w:pPr>
      <w:r>
        <w:rPr>
          <w:rFonts w:eastAsia="方正仿宋简体"/>
          <w:b/>
          <w:color w:val="000000"/>
          <w:sz w:val="31"/>
          <w:szCs w:val="31"/>
          <w:shd w:val="clear" w:color="auto" w:fill="FFFFFF"/>
        </w:rPr>
        <w:t>11.社会保障和就业支出（类）行政事业单位离退休（款）机关事业单位基本养老保险缴费支出（项）（2080505）：指机关事业单位实施养老保险制度由单位缴纳的基本养老保险支出</w:t>
      </w:r>
      <w:r>
        <w:rPr>
          <w:rFonts w:eastAsia="方正仿宋简体"/>
          <w:b/>
          <w:color w:val="000000"/>
          <w:sz w:val="32"/>
          <w:szCs w:val="32"/>
        </w:rPr>
        <w:t>。</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12.</w:t>
      </w:r>
      <w:r>
        <w:rPr>
          <w:rFonts w:eastAsia="方正仿宋简体"/>
          <w:b/>
          <w:color w:val="000000"/>
          <w:sz w:val="31"/>
          <w:szCs w:val="31"/>
          <w:shd w:val="clear" w:color="auto" w:fill="FFFFFF"/>
        </w:rPr>
        <w:t>卫生健康支出（类）行政事业单位医疗（款）行政单位医疗（项）（2101101）：指财政部门集中安排的行政单位基本医疗保险缴费经费</w:t>
      </w:r>
      <w:r>
        <w:rPr>
          <w:rFonts w:eastAsia="方正仿宋简体"/>
          <w:b/>
          <w:color w:val="000000"/>
          <w:sz w:val="32"/>
          <w:szCs w:val="32"/>
        </w:rPr>
        <w:t>。</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13.</w:t>
      </w:r>
      <w:r>
        <w:rPr>
          <w:rFonts w:eastAsia="方正仿宋简体"/>
          <w:b/>
          <w:color w:val="000000"/>
          <w:sz w:val="31"/>
          <w:szCs w:val="31"/>
          <w:shd w:val="clear" w:color="auto" w:fill="FFFFFF"/>
        </w:rPr>
        <w:t>住房保障支出（类）住房改革支出（款）住房公积金（项）（2210201）：指行政事业单位按人力资源和社会保障部、财政部规定的基本工资和津贴补贴以及规定比例为职工缴纳的住房公积金。</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14.基本支出：指为保障机构正常运转、完成日常工作任务而发生的人员支出和公用支出。</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 xml:space="preserve">15.项目支出：指在基本支出之外为完成特定行政任务和事业发展目标所发生的支出。 </w:t>
      </w:r>
    </w:p>
    <w:p>
      <w:pPr>
        <w:spacing w:line="578" w:lineRule="exact"/>
        <w:ind w:firstLine="643" w:firstLineChars="200"/>
        <w:rPr>
          <w:rFonts w:eastAsia="方正仿宋简体"/>
          <w:b/>
          <w:color w:val="000000"/>
          <w:sz w:val="32"/>
          <w:szCs w:val="32"/>
        </w:rPr>
      </w:pPr>
      <w:r>
        <w:rPr>
          <w:rFonts w:eastAsia="方正仿宋简体"/>
          <w:b/>
          <w:color w:val="000000"/>
          <w:sz w:val="32"/>
          <w:szCs w:val="32"/>
        </w:rPr>
        <w:t>16.经营支出：指事业单位在专业业务活动及其辅助活动之外开展非独立核算经营活动发生的支出。</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17.“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4"/>
        <w:spacing w:line="578" w:lineRule="exact"/>
        <w:ind w:firstLine="643" w:firstLineChars="200"/>
        <w:rPr>
          <w:rFonts w:ascii="Times New Roman" w:hAnsi="Times New Roman" w:eastAsia="方正仿宋简体" w:cs="Times New Roman"/>
          <w:b/>
          <w:sz w:val="32"/>
          <w:szCs w:val="32"/>
        </w:rPr>
      </w:pPr>
      <w:r>
        <w:rPr>
          <w:rFonts w:ascii="Times New Roman" w:hAnsi="Times New Roman" w:eastAsia="方正仿宋简体" w:cs="Times New Roman"/>
          <w:b/>
          <w:sz w:val="32"/>
          <w:szCs w:val="32"/>
        </w:rPr>
        <w:t>18.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Fonts w:eastAsia="黑体"/>
          <w:color w:val="000000"/>
          <w:sz w:val="44"/>
          <w:szCs w:val="44"/>
        </w:rPr>
      </w:pPr>
      <w:bookmarkStart w:id="16" w:name="_Toc15396614"/>
      <w:bookmarkStart w:id="17" w:name="_Toc15377226"/>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600" w:lineRule="exact"/>
        <w:jc w:val="center"/>
        <w:outlineLvl w:val="0"/>
        <w:rPr>
          <w:rFonts w:eastAsia="方正小标宋简体"/>
          <w:b/>
          <w:bCs/>
          <w:color w:val="000000"/>
          <w:sz w:val="36"/>
          <w:szCs w:val="36"/>
        </w:rPr>
      </w:pPr>
    </w:p>
    <w:p>
      <w:pPr>
        <w:spacing w:line="578" w:lineRule="exact"/>
        <w:jc w:val="center"/>
        <w:outlineLvl w:val="0"/>
        <w:rPr>
          <w:rStyle w:val="26"/>
          <w:rFonts w:eastAsia="方正小标宋简体"/>
          <w:sz w:val="36"/>
          <w:szCs w:val="36"/>
        </w:rPr>
      </w:pPr>
      <w:r>
        <w:rPr>
          <w:rFonts w:eastAsia="方正小标宋简体"/>
          <w:b/>
          <w:bCs/>
          <w:color w:val="000000"/>
          <w:sz w:val="36"/>
          <w:szCs w:val="36"/>
        </w:rPr>
        <w:t>第</w:t>
      </w:r>
      <w:r>
        <w:rPr>
          <w:rStyle w:val="26"/>
          <w:rFonts w:eastAsia="方正小标宋简体"/>
          <w:sz w:val="36"/>
          <w:szCs w:val="36"/>
        </w:rPr>
        <w:t>四部分 附件</w:t>
      </w:r>
      <w:bookmarkEnd w:id="16"/>
    </w:p>
    <w:p>
      <w:pPr>
        <w:spacing w:line="578" w:lineRule="exact"/>
        <w:jc w:val="left"/>
        <w:outlineLvl w:val="0"/>
        <w:rPr>
          <w:rFonts w:eastAsia="方正黑体简体"/>
          <w:b/>
          <w:sz w:val="32"/>
          <w:szCs w:val="32"/>
        </w:rPr>
      </w:pPr>
      <w:r>
        <w:rPr>
          <w:rFonts w:eastAsia="方正黑体简体"/>
          <w:b/>
          <w:sz w:val="32"/>
          <w:szCs w:val="32"/>
        </w:rPr>
        <w:t>附件1</w:t>
      </w:r>
    </w:p>
    <w:p>
      <w:pPr>
        <w:spacing w:line="578" w:lineRule="exact"/>
        <w:jc w:val="center"/>
        <w:rPr>
          <w:rFonts w:eastAsia="方正小标宋简体"/>
          <w:sz w:val="44"/>
          <w:szCs w:val="44"/>
        </w:rPr>
      </w:pPr>
    </w:p>
    <w:p>
      <w:pPr>
        <w:spacing w:line="600" w:lineRule="exact"/>
        <w:jc w:val="center"/>
        <w:rPr>
          <w:rFonts w:eastAsia="方正小标宋简体"/>
          <w:b/>
          <w:color w:val="000000"/>
          <w:kern w:val="0"/>
          <w:sz w:val="40"/>
          <w:szCs w:val="44"/>
          <w:lang w:val="zh-CN"/>
        </w:rPr>
      </w:pPr>
      <w:r>
        <w:rPr>
          <w:rFonts w:eastAsia="方正小标宋简体"/>
          <w:b/>
          <w:color w:val="000000"/>
          <w:kern w:val="0"/>
          <w:sz w:val="40"/>
          <w:szCs w:val="44"/>
        </w:rPr>
        <w:t>泸县县委巡察办2020年部门</w:t>
      </w:r>
      <w:r>
        <w:rPr>
          <w:rFonts w:eastAsia="方正小标宋简体"/>
          <w:b/>
          <w:color w:val="000000"/>
          <w:kern w:val="0"/>
          <w:sz w:val="40"/>
          <w:szCs w:val="44"/>
          <w:lang w:val="zh-CN"/>
        </w:rPr>
        <w:t>整体支出绩效评价</w:t>
      </w:r>
    </w:p>
    <w:p>
      <w:pPr>
        <w:spacing w:line="600" w:lineRule="exact"/>
        <w:jc w:val="center"/>
        <w:rPr>
          <w:rFonts w:eastAsia="方正小标宋简体"/>
          <w:b/>
          <w:color w:val="000000"/>
          <w:kern w:val="0"/>
          <w:sz w:val="40"/>
          <w:szCs w:val="44"/>
          <w:lang w:val="zh-CN"/>
        </w:rPr>
      </w:pPr>
      <w:r>
        <w:rPr>
          <w:rFonts w:eastAsia="方正小标宋简体"/>
          <w:b/>
          <w:color w:val="000000"/>
          <w:kern w:val="0"/>
          <w:sz w:val="40"/>
          <w:szCs w:val="44"/>
          <w:lang w:val="zh-CN"/>
        </w:rPr>
        <w:t>报   告</w:t>
      </w:r>
    </w:p>
    <w:p>
      <w:pPr>
        <w:widowControl/>
        <w:adjustRightInd w:val="0"/>
        <w:snapToGrid w:val="0"/>
        <w:spacing w:line="580" w:lineRule="exact"/>
        <w:ind w:firstLine="480" w:firstLineChars="200"/>
        <w:contextualSpacing/>
        <w:jc w:val="left"/>
        <w:rPr>
          <w:rFonts w:eastAsia="黑体"/>
          <w:color w:val="000000"/>
          <w:kern w:val="0"/>
          <w:sz w:val="24"/>
          <w:szCs w:val="32"/>
          <w:shd w:val="clear" w:color="auto" w:fill="FFFFFF"/>
        </w:rPr>
      </w:pP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lang w:val="zh-CN"/>
        </w:rPr>
      </w:pPr>
      <w:r>
        <w:rPr>
          <w:rFonts w:eastAsia="方正黑体简体"/>
          <w:b/>
          <w:color w:val="000000"/>
          <w:kern w:val="0"/>
          <w:sz w:val="32"/>
          <w:szCs w:val="32"/>
          <w:shd w:val="clear" w:color="auto" w:fill="FFFFFF"/>
        </w:rPr>
        <w:t>一、</w:t>
      </w:r>
      <w:r>
        <w:rPr>
          <w:rFonts w:eastAsia="方正黑体简体"/>
          <w:b/>
          <w:color w:val="000000"/>
          <w:kern w:val="0"/>
          <w:sz w:val="32"/>
          <w:szCs w:val="32"/>
          <w:shd w:val="clear" w:color="auto" w:fill="FFFFFF"/>
          <w:lang w:val="zh-CN"/>
        </w:rPr>
        <w:t>部门（单位）概况</w:t>
      </w:r>
    </w:p>
    <w:p>
      <w:pPr>
        <w:widowControl/>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（一）机构组成。</w:t>
      </w:r>
    </w:p>
    <w:p>
      <w:pPr>
        <w:widowControl/>
        <w:adjustRightInd w:val="0"/>
        <w:snapToGrid w:val="0"/>
        <w:spacing w:line="578" w:lineRule="exact"/>
        <w:ind w:firstLine="643" w:firstLineChars="200"/>
        <w:contextualSpacing/>
        <w:jc w:val="left"/>
        <w:rPr>
          <w:rFonts w:eastAsia="方正仿宋简体"/>
          <w:b/>
          <w:color w:val="000000"/>
          <w:kern w:val="0"/>
          <w:sz w:val="32"/>
          <w:szCs w:val="32"/>
          <w:shd w:val="clear" w:color="auto" w:fill="FFFFFF"/>
          <w:lang w:val="zh-CN"/>
        </w:rPr>
      </w:pPr>
      <w:r>
        <w:rPr>
          <w:rFonts w:eastAsia="方正仿宋简体"/>
          <w:b/>
          <w:bCs/>
          <w:sz w:val="32"/>
          <w:szCs w:val="32"/>
        </w:rPr>
        <w:t>泸县县委巡察办是一级预算单位，属行政单位。</w:t>
      </w:r>
    </w:p>
    <w:p>
      <w:pPr>
        <w:widowControl/>
        <w:numPr>
          <w:ilvl w:val="0"/>
          <w:numId w:val="6"/>
        </w:numPr>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机构职能。</w:t>
      </w:r>
    </w:p>
    <w:p>
      <w:pPr>
        <w:snapToGrid w:val="0"/>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sz w:val="32"/>
          <w:szCs w:val="32"/>
        </w:rPr>
        <w:t>承担县委巡察工作的组织部署、督促指导、联络协调；统筹、协调、指导巡察组开展工作；对县委和巡察工作领导小组决定的事项进行督办；负责省委巡视、市委巡察组到合巡视巡察的协调联络、办理交办事项、督促巡视巡察整改；配合县纪委、县委组织部及相关部门对巡察工作人员进行培训、考核、监督和管理等工作职能；承担上级巡视巡察联络相关工作。</w:t>
      </w:r>
    </w:p>
    <w:p>
      <w:pPr>
        <w:widowControl/>
        <w:numPr>
          <w:ilvl w:val="0"/>
          <w:numId w:val="6"/>
        </w:numPr>
        <w:adjustRightInd w:val="0"/>
        <w:snapToGrid w:val="0"/>
        <w:spacing w:line="578" w:lineRule="exact"/>
        <w:ind w:firstLine="643" w:firstLineChars="200"/>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人员概况。</w:t>
      </w:r>
    </w:p>
    <w:p>
      <w:pPr>
        <w:pStyle w:val="32"/>
        <w:autoSpaceDN w:val="0"/>
        <w:spacing w:line="578" w:lineRule="exact"/>
        <w:ind w:firstLine="643" w:firstLineChars="200"/>
        <w:jc w:val="left"/>
        <w:rPr>
          <w:rFonts w:eastAsia="方正仿宋简体"/>
          <w:b/>
          <w:color w:val="000000"/>
          <w:sz w:val="32"/>
          <w:szCs w:val="32"/>
          <w:shd w:val="clear" w:color="auto" w:fill="FFFFFF"/>
          <w:lang w:val="zh-CN"/>
        </w:rPr>
      </w:pPr>
      <w:r>
        <w:rPr>
          <w:rFonts w:eastAsia="方正仿宋简体"/>
          <w:b/>
          <w:bCs/>
          <w:sz w:val="32"/>
          <w:szCs w:val="32"/>
        </w:rPr>
        <w:t>机构规格为正科级，核定行政编制10名，设主任1名（正科级），副主任1名（副科级），巡察专员4人，科员4人。2020年末编制数10人，其中：行政编制10人；年末实有在岗在编人数8人。</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二、部门财政资金收支情况</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（一）部门财政资金收入情况。</w:t>
      </w:r>
    </w:p>
    <w:p>
      <w:pPr>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color w:val="000000"/>
          <w:sz w:val="32"/>
          <w:szCs w:val="32"/>
        </w:rPr>
        <w:t>2020年本年收入合计365.44万元，其中：一般公共预算财政拨款收入365.44万元，占100%；</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（二）部门财政资金支出情况。</w:t>
      </w:r>
    </w:p>
    <w:p>
      <w:pPr>
        <w:spacing w:line="578" w:lineRule="exact"/>
        <w:ind w:firstLine="643" w:firstLineChars="200"/>
        <w:rPr>
          <w:rFonts w:eastAsia="方正仿宋简体"/>
          <w:b/>
          <w:color w:val="FF0000"/>
          <w:sz w:val="32"/>
          <w:szCs w:val="32"/>
        </w:rPr>
      </w:pPr>
      <w:r>
        <w:rPr>
          <w:rFonts w:eastAsia="方正仿宋简体"/>
          <w:b/>
          <w:color w:val="000000"/>
          <w:sz w:val="32"/>
          <w:szCs w:val="32"/>
        </w:rPr>
        <w:t>2020年本年支出合计365.44万元，其中：基本支出255.18万元，占69.83%；项目支出110.26万元，占30.17%；</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三、部门整体预算绩效管理情况</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（一）部门预算管理。</w:t>
      </w:r>
    </w:p>
    <w:p>
      <w:pPr>
        <w:spacing w:line="578" w:lineRule="exact"/>
        <w:ind w:firstLine="643" w:firstLineChars="200"/>
        <w:rPr>
          <w:rFonts w:eastAsia="方正仿宋简体"/>
          <w:b/>
          <w:color w:val="000000"/>
          <w:kern w:val="0"/>
          <w:sz w:val="32"/>
          <w:szCs w:val="32"/>
        </w:rPr>
      </w:pPr>
      <w:r>
        <w:rPr>
          <w:rFonts w:eastAsia="方正仿宋简体"/>
          <w:b/>
          <w:color w:val="000000"/>
          <w:sz w:val="32"/>
          <w:szCs w:val="32"/>
        </w:rPr>
        <w:t>我单位在年初预算编制阶段，对整体支出开展了预算事前绩效评估，并制定了绩效目标。本单位部门整体预算绩效目标综合反映了整体支出将预期完成的数量、成本、时效、质量，预期达到的社会效益、经济效益、生态效益、可持续影响以及服务对象满意度等情况。在执行过程中，本单位严格控制整体支出的执行进度，并将整体支出控制在预算范围内，无违规情况发生。2020年本单位整体支出目标完成情况良好，达到了预期的目标及效果</w:t>
      </w:r>
      <w:r>
        <w:rPr>
          <w:rFonts w:eastAsia="方正仿宋简体"/>
          <w:b/>
          <w:color w:val="000000"/>
          <w:kern w:val="0"/>
          <w:sz w:val="32"/>
          <w:szCs w:val="32"/>
        </w:rPr>
        <w:t>。</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（二）结果应用情况。</w:t>
      </w:r>
    </w:p>
    <w:p>
      <w:pPr>
        <w:spacing w:line="578" w:lineRule="exact"/>
        <w:ind w:firstLine="643" w:firstLineChars="200"/>
        <w:rPr>
          <w:rFonts w:eastAsia="方正仿宋简体"/>
          <w:b/>
          <w:color w:val="000000"/>
          <w:kern w:val="0"/>
          <w:sz w:val="32"/>
          <w:szCs w:val="32"/>
          <w:shd w:val="clear" w:color="auto" w:fill="FFFFFF"/>
          <w:lang w:val="zh-CN"/>
        </w:rPr>
      </w:pPr>
      <w:r>
        <w:rPr>
          <w:rFonts w:eastAsia="方正仿宋简体"/>
          <w:b/>
          <w:color w:val="000000"/>
          <w:sz w:val="32"/>
          <w:szCs w:val="32"/>
        </w:rPr>
        <w:t>我单位根据年末工作完成情况，对照年初制定的绩效目标逐条考核完成情况，各项工作完成情况良好。绩效目标以及自评均按照要求通过部门预、决算进行公开，主动接受社会监督。根据绩效目标自评结果，调整下年度项目绩效目标的设立，以便更科学地对项目进行监督和绩效管理。</w:t>
      </w:r>
    </w:p>
    <w:p>
      <w:pPr>
        <w:widowControl/>
        <w:adjustRightInd w:val="0"/>
        <w:snapToGrid w:val="0"/>
        <w:spacing w:line="578" w:lineRule="exact"/>
        <w:ind w:firstLine="643" w:firstLineChars="200"/>
        <w:contextualSpacing/>
        <w:jc w:val="left"/>
        <w:rPr>
          <w:rFonts w:eastAsia="方正黑体简体"/>
          <w:b/>
          <w:color w:val="000000"/>
          <w:kern w:val="0"/>
          <w:sz w:val="32"/>
          <w:szCs w:val="32"/>
          <w:shd w:val="clear" w:color="auto" w:fill="FFFFFF"/>
        </w:rPr>
      </w:pPr>
      <w:r>
        <w:rPr>
          <w:rFonts w:eastAsia="方正黑体简体"/>
          <w:b/>
          <w:color w:val="000000"/>
          <w:kern w:val="0"/>
          <w:sz w:val="32"/>
          <w:szCs w:val="32"/>
          <w:shd w:val="clear" w:color="auto" w:fill="FFFFFF"/>
        </w:rPr>
        <w:t>四、评价结论及建议</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（一）评价结论。</w:t>
      </w:r>
    </w:p>
    <w:p>
      <w:pPr>
        <w:widowControl/>
        <w:spacing w:line="578" w:lineRule="exact"/>
        <w:ind w:firstLine="643" w:firstLineChars="200"/>
        <w:jc w:val="left"/>
        <w:rPr>
          <w:rFonts w:eastAsia="方正仿宋简体"/>
          <w:b/>
          <w:sz w:val="32"/>
          <w:szCs w:val="32"/>
        </w:rPr>
      </w:pPr>
      <w:r>
        <w:rPr>
          <w:rFonts w:eastAsia="方正仿宋简体"/>
          <w:b/>
          <w:color w:val="000000"/>
          <w:sz w:val="32"/>
          <w:szCs w:val="32"/>
        </w:rPr>
        <w:t>总体来看，我单位目标任务较明确，预算编制较准确，部门综合管理较规范，部门整体绩效良好，达到了预期目标。</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（二）存在问题。</w:t>
      </w:r>
    </w:p>
    <w:p>
      <w:pPr>
        <w:widowControl/>
        <w:spacing w:line="578" w:lineRule="exact"/>
        <w:ind w:firstLine="643" w:firstLineChars="200"/>
        <w:jc w:val="left"/>
        <w:rPr>
          <w:rFonts w:eastAsia="方正仿宋简体"/>
          <w:b/>
          <w:sz w:val="32"/>
          <w:szCs w:val="32"/>
        </w:rPr>
      </w:pPr>
      <w:r>
        <w:rPr>
          <w:rFonts w:eastAsia="方正仿宋简体"/>
          <w:b/>
          <w:color w:val="000000"/>
          <w:sz w:val="32"/>
          <w:szCs w:val="32"/>
        </w:rPr>
        <w:t>一是绩效目标设定不够精细，二是预算编制不够精准。</w:t>
      </w:r>
    </w:p>
    <w:p>
      <w:pPr>
        <w:widowControl/>
        <w:adjustRightInd w:val="0"/>
        <w:snapToGrid w:val="0"/>
        <w:spacing w:line="578" w:lineRule="exact"/>
        <w:ind w:left="643"/>
        <w:contextualSpacing/>
        <w:jc w:val="left"/>
        <w:rPr>
          <w:rFonts w:eastAsia="方正楷体简体"/>
          <w:b/>
          <w:color w:val="000000"/>
          <w:kern w:val="0"/>
          <w:sz w:val="32"/>
          <w:szCs w:val="32"/>
          <w:shd w:val="clear" w:color="auto" w:fill="FFFFFF"/>
          <w:lang w:val="zh-CN"/>
        </w:rPr>
      </w:pPr>
      <w:r>
        <w:rPr>
          <w:rFonts w:eastAsia="方正楷体简体"/>
          <w:b/>
          <w:color w:val="000000"/>
          <w:kern w:val="0"/>
          <w:sz w:val="32"/>
          <w:szCs w:val="32"/>
          <w:shd w:val="clear" w:color="auto" w:fill="FFFFFF"/>
          <w:lang w:val="zh-CN"/>
        </w:rPr>
        <w:t>（三）改进建议。</w:t>
      </w:r>
    </w:p>
    <w:p>
      <w:pPr>
        <w:widowControl/>
        <w:spacing w:line="578" w:lineRule="exact"/>
        <w:ind w:firstLine="643" w:firstLineChars="200"/>
        <w:jc w:val="left"/>
        <w:rPr>
          <w:rFonts w:eastAsia="方正仿宋简体"/>
          <w:b/>
          <w:color w:val="000000"/>
          <w:sz w:val="32"/>
          <w:szCs w:val="32"/>
        </w:rPr>
      </w:pPr>
      <w:r>
        <w:rPr>
          <w:rFonts w:eastAsia="方正仿宋简体"/>
          <w:b/>
          <w:color w:val="000000"/>
          <w:sz w:val="32"/>
          <w:szCs w:val="32"/>
        </w:rPr>
        <w:t>一是进一步细化目标设定，二是进一步精准编制预算，最大限度达到厉行节约。</w:t>
      </w: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widowControl/>
        <w:spacing w:line="578" w:lineRule="exact"/>
        <w:ind w:firstLine="643" w:firstLineChars="200"/>
        <w:jc w:val="left"/>
        <w:rPr>
          <w:rFonts w:eastAsia="方正仿宋简体"/>
          <w:b/>
          <w:color w:val="000000"/>
          <w:sz w:val="32"/>
          <w:szCs w:val="32"/>
        </w:rPr>
      </w:pPr>
    </w:p>
    <w:p>
      <w:pPr>
        <w:pStyle w:val="12"/>
        <w:widowControl/>
        <w:shd w:val="clear" w:color="auto" w:fill="FFFFFF"/>
        <w:spacing w:beforeAutospacing="0" w:afterAutospacing="0" w:line="578" w:lineRule="atLeast"/>
        <w:ind w:firstLine="1446" w:firstLineChars="400"/>
        <w:jc w:val="both"/>
        <w:rPr>
          <w:rFonts w:eastAsia="方正小标宋简体"/>
          <w:b/>
          <w:bCs/>
          <w:color w:val="000000"/>
          <w:kern w:val="2"/>
          <w:sz w:val="36"/>
          <w:szCs w:val="36"/>
        </w:rPr>
      </w:pPr>
      <w:r>
        <w:rPr>
          <w:rFonts w:eastAsia="方正小标宋简体"/>
          <w:b/>
          <w:bCs/>
          <w:color w:val="000000"/>
          <w:kern w:val="2"/>
          <w:sz w:val="36"/>
          <w:szCs w:val="36"/>
        </w:rPr>
        <w:t>2020年度部门整体支出绩效目标自评表</w:t>
      </w:r>
    </w:p>
    <w:p>
      <w:pPr>
        <w:pStyle w:val="12"/>
        <w:widowControl/>
        <w:shd w:val="clear" w:color="auto" w:fill="FFFFFF"/>
        <w:spacing w:beforeAutospacing="0" w:afterAutospacing="0" w:line="400" w:lineRule="exact"/>
        <w:ind w:firstLine="1446" w:firstLineChars="400"/>
        <w:jc w:val="both"/>
        <w:rPr>
          <w:rFonts w:eastAsia="方正小标宋简体"/>
          <w:b/>
          <w:bCs/>
          <w:color w:val="000000"/>
          <w:kern w:val="2"/>
          <w:sz w:val="36"/>
          <w:szCs w:val="36"/>
        </w:rPr>
      </w:pPr>
    </w:p>
    <w:tbl>
      <w:tblPr>
        <w:tblStyle w:val="1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2"/>
        <w:gridCol w:w="1661"/>
        <w:gridCol w:w="2162"/>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167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一级指标</w:t>
            </w:r>
          </w:p>
        </w:tc>
        <w:tc>
          <w:tcPr>
            <w:tcW w:w="166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二级指标</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三级指标</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指标分值</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预算部门管理（80分）</w:t>
            </w: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预算编制</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目标制定</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目标完成</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编制准确</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预算执行</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支出控制</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动态调整</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执行进度</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完成结果</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预算完成</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违规记录</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绩效结果应用（20分）</w:t>
            </w:r>
          </w:p>
        </w:tc>
        <w:tc>
          <w:tcPr>
            <w:tcW w:w="166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自评质量</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自评准确</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信息公开</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目标公开</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自评公开</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restart"/>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整改反馈</w:t>
            </w: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结果反馈</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72"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1661" w:type="dxa"/>
            <w:vMerge w:val="continue"/>
            <w:shd w:val="clear" w:color="auto" w:fill="auto"/>
            <w:tcMar>
              <w:left w:w="108" w:type="dxa"/>
              <w:right w:w="108" w:type="dxa"/>
            </w:tcMar>
            <w:vAlign w:val="center"/>
          </w:tcPr>
          <w:p>
            <w:pPr>
              <w:spacing w:line="300" w:lineRule="exact"/>
              <w:jc w:val="center"/>
              <w:rPr>
                <w:rFonts w:eastAsia="方正仿宋简体"/>
                <w:b/>
                <w:sz w:val="24"/>
              </w:rPr>
            </w:pPr>
          </w:p>
        </w:tc>
        <w:tc>
          <w:tcPr>
            <w:tcW w:w="2162"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应用反馈</w:t>
            </w:r>
          </w:p>
        </w:tc>
        <w:tc>
          <w:tcPr>
            <w:tcW w:w="1701"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仿宋简体"/>
                <w:b/>
              </w:rPr>
            </w:pPr>
            <w:r>
              <w:rPr>
                <w:rFonts w:eastAsia="方正仿宋简体"/>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7196" w:type="dxa"/>
            <w:gridSpan w:val="4"/>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总  分</w:t>
            </w:r>
          </w:p>
        </w:tc>
        <w:tc>
          <w:tcPr>
            <w:tcW w:w="1843" w:type="dxa"/>
            <w:shd w:val="clear" w:color="auto" w:fill="auto"/>
            <w:tcMar>
              <w:left w:w="108" w:type="dxa"/>
              <w:right w:w="108" w:type="dxa"/>
            </w:tcMar>
            <w:vAlign w:val="center"/>
          </w:tcPr>
          <w:p>
            <w:pPr>
              <w:pStyle w:val="12"/>
              <w:widowControl/>
              <w:spacing w:beforeAutospacing="0" w:afterAutospacing="0" w:line="300" w:lineRule="exact"/>
              <w:jc w:val="center"/>
              <w:rPr>
                <w:rFonts w:eastAsia="方正黑体简体"/>
                <w:b/>
              </w:rPr>
            </w:pPr>
            <w:r>
              <w:rPr>
                <w:rFonts w:eastAsia="方正黑体简体"/>
                <w:b/>
              </w:rPr>
              <w:t>94</w:t>
            </w:r>
          </w:p>
        </w:tc>
      </w:tr>
    </w:tbl>
    <w:p>
      <w:pPr>
        <w:spacing w:line="580" w:lineRule="exact"/>
        <w:rPr>
          <w:rFonts w:eastAsia="仿宋_GB2312"/>
          <w:sz w:val="32"/>
          <w:szCs w:val="32"/>
        </w:rPr>
      </w:pPr>
    </w:p>
    <w:p>
      <w:pPr>
        <w:spacing w:line="580" w:lineRule="exact"/>
        <w:rPr>
          <w:rFonts w:eastAsia="黑体"/>
          <w:b/>
          <w:sz w:val="32"/>
          <w:szCs w:val="32"/>
        </w:rPr>
      </w:pPr>
    </w:p>
    <w:p>
      <w:pPr>
        <w:spacing w:line="580" w:lineRule="exact"/>
        <w:rPr>
          <w:rFonts w:eastAsia="黑体"/>
          <w:b/>
          <w:sz w:val="32"/>
          <w:szCs w:val="32"/>
        </w:rPr>
      </w:pPr>
    </w:p>
    <w:p>
      <w:pPr>
        <w:spacing w:line="580" w:lineRule="exact"/>
        <w:rPr>
          <w:rFonts w:eastAsia="黑体"/>
          <w:b/>
          <w:sz w:val="32"/>
          <w:szCs w:val="32"/>
        </w:rPr>
      </w:pPr>
    </w:p>
    <w:p>
      <w:pPr>
        <w:spacing w:line="580" w:lineRule="exact"/>
        <w:rPr>
          <w:rFonts w:eastAsia="黑体"/>
          <w:b/>
          <w:sz w:val="32"/>
          <w:szCs w:val="32"/>
        </w:rPr>
      </w:pPr>
    </w:p>
    <w:p>
      <w:pPr>
        <w:spacing w:line="580" w:lineRule="exact"/>
        <w:rPr>
          <w:rFonts w:eastAsia="黑体"/>
          <w:b/>
          <w:sz w:val="32"/>
          <w:szCs w:val="32"/>
        </w:rPr>
      </w:pPr>
    </w:p>
    <w:p>
      <w:pPr>
        <w:spacing w:line="580" w:lineRule="exact"/>
        <w:rPr>
          <w:rFonts w:eastAsia="黑体"/>
          <w:b/>
          <w:sz w:val="32"/>
          <w:szCs w:val="32"/>
        </w:rPr>
      </w:pPr>
    </w:p>
    <w:p>
      <w:pPr>
        <w:spacing w:line="580" w:lineRule="exact"/>
        <w:rPr>
          <w:rFonts w:eastAsia="仿宋_GB2312"/>
          <w:b/>
          <w:sz w:val="32"/>
          <w:szCs w:val="32"/>
        </w:rPr>
      </w:pPr>
      <w:r>
        <w:rPr>
          <w:rFonts w:eastAsia="黑体"/>
          <w:b/>
          <w:sz w:val="32"/>
          <w:szCs w:val="32"/>
        </w:rPr>
        <w:t>附件2</w:t>
      </w:r>
    </w:p>
    <w:p>
      <w:pPr>
        <w:spacing w:line="580" w:lineRule="exact"/>
        <w:ind w:firstLine="640" w:firstLineChars="200"/>
        <w:rPr>
          <w:rFonts w:eastAsia="仿宋_GB2312"/>
          <w:sz w:val="32"/>
          <w:szCs w:val="32"/>
        </w:rPr>
      </w:pPr>
    </w:p>
    <w:p>
      <w:pPr>
        <w:spacing w:line="600" w:lineRule="exact"/>
        <w:jc w:val="center"/>
        <w:rPr>
          <w:rFonts w:eastAsia="方正小标宋简体"/>
          <w:b/>
          <w:color w:val="000000"/>
          <w:kern w:val="0"/>
          <w:sz w:val="44"/>
          <w:szCs w:val="44"/>
          <w:lang w:val="zh-CN"/>
        </w:rPr>
      </w:pPr>
      <w:r>
        <w:rPr>
          <w:rFonts w:eastAsia="方正小标宋简体"/>
          <w:b/>
          <w:color w:val="000000"/>
          <w:kern w:val="0"/>
          <w:sz w:val="44"/>
          <w:szCs w:val="44"/>
        </w:rPr>
        <w:t>巡察业务经费项目2020年</w:t>
      </w:r>
      <w:r>
        <w:rPr>
          <w:rFonts w:eastAsia="方正小标宋简体"/>
          <w:b/>
          <w:color w:val="000000"/>
          <w:kern w:val="0"/>
          <w:sz w:val="44"/>
          <w:szCs w:val="44"/>
          <w:lang w:val="zh-CN"/>
        </w:rPr>
        <w:t>绩效评价报告</w:t>
      </w:r>
    </w:p>
    <w:p>
      <w:pPr>
        <w:spacing w:line="600" w:lineRule="exact"/>
        <w:rPr>
          <w:sz w:val="32"/>
          <w:szCs w:val="32"/>
          <w:lang w:val="zh-CN"/>
        </w:rPr>
      </w:pPr>
    </w:p>
    <w:p>
      <w:pPr>
        <w:adjustRightInd w:val="0"/>
        <w:snapToGrid w:val="0"/>
        <w:spacing w:line="600" w:lineRule="exact"/>
        <w:ind w:firstLine="720"/>
        <w:rPr>
          <w:rFonts w:eastAsia="方正黑体简体"/>
          <w:b/>
          <w:sz w:val="32"/>
          <w:szCs w:val="32"/>
          <w:lang w:val="zh-CN"/>
        </w:rPr>
      </w:pPr>
      <w:r>
        <w:rPr>
          <w:rFonts w:eastAsia="方正黑体简体"/>
          <w:b/>
          <w:sz w:val="32"/>
          <w:szCs w:val="32"/>
        </w:rPr>
        <w:t>一、</w:t>
      </w:r>
      <w:r>
        <w:rPr>
          <w:rFonts w:eastAsia="方正黑体简体"/>
          <w:b/>
          <w:sz w:val="32"/>
          <w:szCs w:val="32"/>
          <w:lang w:val="zh-CN"/>
        </w:rPr>
        <w:t>项目概况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（一）项目基本情况。</w:t>
      </w:r>
    </w:p>
    <w:p>
      <w:pPr>
        <w:adjustRightInd w:val="0"/>
        <w:snapToGrid w:val="0"/>
        <w:spacing w:line="578" w:lineRule="exact"/>
        <w:ind w:firstLine="720"/>
        <w:rPr>
          <w:rFonts w:eastAsia="方正仿宋简体"/>
          <w:b/>
          <w:sz w:val="32"/>
          <w:szCs w:val="32"/>
        </w:rPr>
      </w:pPr>
      <w:r>
        <w:rPr>
          <w:rFonts w:eastAsia="方正仿宋简体"/>
          <w:b/>
          <w:sz w:val="32"/>
          <w:szCs w:val="32"/>
          <w:lang w:val="zh-CN"/>
        </w:rPr>
        <w:t>县委巡察办督导指导</w:t>
      </w:r>
      <w:r>
        <w:rPr>
          <w:rFonts w:eastAsia="方正仿宋简体"/>
          <w:b/>
          <w:sz w:val="32"/>
          <w:szCs w:val="32"/>
        </w:rPr>
        <w:t>3个巡察组完成县委交办的当年巡察任务，巡察业务经费用于3个巡察组巡察期间产生的住宿费、生活费、值班补助等开支。</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（二）项目绩效目标。</w:t>
      </w:r>
    </w:p>
    <w:p>
      <w:pPr>
        <w:snapToGrid w:val="0"/>
        <w:spacing w:line="520" w:lineRule="exact"/>
        <w:ind w:firstLine="643" w:firstLineChars="200"/>
        <w:rPr>
          <w:rFonts w:eastAsia="方正仿宋简体"/>
          <w:b/>
          <w:sz w:val="32"/>
          <w:szCs w:val="32"/>
        </w:rPr>
      </w:pPr>
      <w:r>
        <w:rPr>
          <w:rFonts w:eastAsia="方正仿宋简体"/>
          <w:b/>
          <w:sz w:val="32"/>
          <w:szCs w:val="32"/>
          <w:lang w:val="zh-CN"/>
        </w:rPr>
        <w:t>完成</w:t>
      </w:r>
      <w:r>
        <w:rPr>
          <w:rFonts w:eastAsia="方正仿宋简体"/>
          <w:b/>
          <w:bCs/>
          <w:sz w:val="32"/>
          <w:szCs w:val="32"/>
        </w:rPr>
        <w:t>十三届县委第7轮、第8轮对24个单位的常规巡察、省委第五巡视组对泸县开展为期1个月的常规巡视，按照省委、市委巡视巡察上下联动有关要求，派出1个巡察组配合省委对县法院开展上下联动巡视巡察；配合市委组建1个联动巡察组对玉蟾街道开展提级巡察；组建1个机动巡察组对福集等5个镇开展脱贫攻坚整改情况机动巡察；</w:t>
      </w:r>
      <w:r>
        <w:rPr>
          <w:rFonts w:eastAsia="方正仿宋简体"/>
          <w:b/>
          <w:sz w:val="32"/>
          <w:szCs w:val="32"/>
        </w:rPr>
        <w:t>派出巡察组1个（13人）对纳溪区区委办公室、区政府办公室开展市+区县交叉巡察。</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（三）项目自评步骤及方法。</w:t>
      </w:r>
    </w:p>
    <w:p>
      <w:pPr>
        <w:pStyle w:val="5"/>
        <w:adjustRightInd w:val="0"/>
        <w:snapToGrid w:val="0"/>
        <w:spacing w:beforeLines="0" w:line="578" w:lineRule="exact"/>
        <w:ind w:firstLine="675" w:firstLineChars="210"/>
        <w:outlineLvl w:val="2"/>
        <w:rPr>
          <w:rFonts w:ascii="Times New Roman" w:eastAsia="方正仿宋简体"/>
          <w:b/>
          <w:sz w:val="32"/>
          <w:szCs w:val="32"/>
          <w:lang w:val="zh-CN"/>
        </w:rPr>
      </w:pPr>
      <w:r>
        <w:rPr>
          <w:rFonts w:ascii="Times New Roman" w:eastAsia="方正仿宋简体"/>
          <w:b/>
          <w:sz w:val="32"/>
          <w:szCs w:val="32"/>
        </w:rPr>
        <w:t>采取自评方式，成立项目自评小组，结合县委工作安排及巡察工作领导小组工作计划，开展自评工作。按照上级下达的项目支出绩效评价指标体系，针对申报内容、实施情况从数量、质量、成本、经济和社会效益指标等方面做出自我评价。</w:t>
      </w:r>
    </w:p>
    <w:p>
      <w:pPr>
        <w:adjustRightInd w:val="0"/>
        <w:snapToGrid w:val="0"/>
        <w:spacing w:line="578" w:lineRule="exact"/>
        <w:ind w:firstLine="720"/>
        <w:rPr>
          <w:rFonts w:eastAsia="方正黑体简体"/>
          <w:b/>
          <w:sz w:val="32"/>
          <w:szCs w:val="32"/>
        </w:rPr>
      </w:pPr>
      <w:r>
        <w:rPr>
          <w:rFonts w:eastAsia="方正黑体简体"/>
          <w:b/>
          <w:sz w:val="32"/>
          <w:szCs w:val="32"/>
        </w:rPr>
        <w:t>二、项目资金申报及使用情况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（一）项目资金申报及批复情况。</w:t>
      </w:r>
    </w:p>
    <w:p>
      <w:pPr>
        <w:adjustRightInd w:val="0"/>
        <w:snapToGrid w:val="0"/>
        <w:spacing w:line="578" w:lineRule="exact"/>
        <w:ind w:firstLine="720"/>
        <w:rPr>
          <w:rFonts w:eastAsia="方正仿宋简体"/>
          <w:b/>
          <w:kern w:val="0"/>
          <w:sz w:val="32"/>
          <w:szCs w:val="32"/>
        </w:rPr>
      </w:pPr>
      <w:r>
        <w:rPr>
          <w:rFonts w:eastAsia="方正仿宋简体"/>
          <w:b/>
          <w:kern w:val="0"/>
          <w:sz w:val="32"/>
          <w:szCs w:val="32"/>
        </w:rPr>
        <w:t>巡察业务经费项目资金年初预算120万元，财政批复金额120万元。</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（二）资金计划、到位及使用情况。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1．资金计划。20</w:t>
      </w:r>
      <w:r>
        <w:rPr>
          <w:rFonts w:eastAsia="方正仿宋简体"/>
          <w:b/>
          <w:sz w:val="32"/>
          <w:szCs w:val="32"/>
        </w:rPr>
        <w:t>20</w:t>
      </w:r>
      <w:r>
        <w:rPr>
          <w:rFonts w:eastAsia="方正仿宋简体"/>
          <w:b/>
          <w:sz w:val="32"/>
          <w:szCs w:val="32"/>
          <w:lang w:val="zh-CN"/>
        </w:rPr>
        <w:t>年县委巡察办巡察业务经费项目资金预算数</w:t>
      </w:r>
      <w:r>
        <w:rPr>
          <w:rFonts w:eastAsia="方正仿宋简体"/>
          <w:b/>
          <w:sz w:val="32"/>
          <w:szCs w:val="32"/>
        </w:rPr>
        <w:t>120</w:t>
      </w:r>
      <w:r>
        <w:rPr>
          <w:rFonts w:eastAsia="方正仿宋简体"/>
          <w:b/>
          <w:sz w:val="32"/>
          <w:szCs w:val="32"/>
          <w:lang w:val="zh-CN"/>
        </w:rPr>
        <w:t>万元，均为财政拨款资金。</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2．资金到位。截止</w:t>
      </w:r>
      <w:r>
        <w:rPr>
          <w:rFonts w:eastAsia="方正仿宋简体"/>
          <w:b/>
          <w:sz w:val="32"/>
          <w:szCs w:val="32"/>
        </w:rPr>
        <w:t>2020</w:t>
      </w:r>
      <w:r>
        <w:rPr>
          <w:rFonts w:eastAsia="方正仿宋简体"/>
          <w:b/>
          <w:sz w:val="32"/>
          <w:szCs w:val="32"/>
          <w:lang w:val="zh-CN"/>
        </w:rPr>
        <w:t>年12月31日，县委巡察办巡察业务经费项目财政划拨资金</w:t>
      </w:r>
      <w:r>
        <w:rPr>
          <w:rFonts w:eastAsia="方正仿宋简体"/>
          <w:b/>
          <w:sz w:val="32"/>
          <w:szCs w:val="32"/>
        </w:rPr>
        <w:t>110.26</w:t>
      </w:r>
      <w:r>
        <w:rPr>
          <w:rFonts w:eastAsia="方正仿宋简体"/>
          <w:b/>
          <w:sz w:val="32"/>
          <w:szCs w:val="32"/>
          <w:lang w:val="zh-CN"/>
        </w:rPr>
        <w:t>万元，完成资金计划</w:t>
      </w:r>
      <w:r>
        <w:rPr>
          <w:rFonts w:eastAsia="方正仿宋简体"/>
          <w:b/>
          <w:sz w:val="32"/>
          <w:szCs w:val="32"/>
        </w:rPr>
        <w:t>91.88</w:t>
      </w:r>
      <w:r>
        <w:rPr>
          <w:rFonts w:eastAsia="方正仿宋简体"/>
          <w:b/>
          <w:sz w:val="32"/>
          <w:szCs w:val="32"/>
          <w:lang w:val="zh-CN"/>
        </w:rPr>
        <w:t>%，为巡察工作的顺利开展提供了资金保障。</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3．资金使用。截止20</w:t>
      </w:r>
      <w:r>
        <w:rPr>
          <w:rFonts w:eastAsia="方正仿宋简体"/>
          <w:b/>
          <w:sz w:val="32"/>
          <w:szCs w:val="32"/>
        </w:rPr>
        <w:t>20</w:t>
      </w:r>
      <w:r>
        <w:rPr>
          <w:rFonts w:eastAsia="方正仿宋简体"/>
          <w:b/>
          <w:sz w:val="32"/>
          <w:szCs w:val="32"/>
          <w:lang w:val="zh-CN"/>
        </w:rPr>
        <w:t>年12月31日，县委巡察办巡察业务经费项目资金支出</w:t>
      </w:r>
      <w:r>
        <w:rPr>
          <w:rFonts w:eastAsia="方正仿宋简体"/>
          <w:b/>
          <w:sz w:val="32"/>
          <w:szCs w:val="32"/>
        </w:rPr>
        <w:t>110.26</w:t>
      </w:r>
      <w:r>
        <w:rPr>
          <w:rFonts w:eastAsia="方正仿宋简体"/>
          <w:b/>
          <w:sz w:val="32"/>
          <w:szCs w:val="32"/>
          <w:lang w:val="zh-CN"/>
        </w:rPr>
        <w:t>万元，完成资金计划</w:t>
      </w:r>
      <w:r>
        <w:rPr>
          <w:rFonts w:eastAsia="方正仿宋简体"/>
          <w:b/>
          <w:sz w:val="32"/>
          <w:szCs w:val="32"/>
        </w:rPr>
        <w:t>91.88</w:t>
      </w:r>
      <w:r>
        <w:rPr>
          <w:rFonts w:eastAsia="方正仿宋简体"/>
          <w:b/>
          <w:sz w:val="32"/>
          <w:szCs w:val="32"/>
          <w:lang w:val="zh-CN"/>
        </w:rPr>
        <w:t>%。主要用于巡察办办公室及</w:t>
      </w:r>
      <w:r>
        <w:rPr>
          <w:rFonts w:eastAsia="方正仿宋简体"/>
          <w:b/>
          <w:sz w:val="32"/>
          <w:szCs w:val="32"/>
        </w:rPr>
        <w:t>3个巡察组巡察期间产生的生活费、住宿费、值班补助、加班补助等开支</w:t>
      </w:r>
      <w:r>
        <w:rPr>
          <w:rFonts w:eastAsia="方正仿宋简体"/>
          <w:b/>
          <w:sz w:val="32"/>
          <w:szCs w:val="32"/>
          <w:lang w:val="zh-CN"/>
        </w:rPr>
        <w:t>。</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（三）项目财务管理情况。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资金在使用过程中严格按财政预算要求执行，同时加强资金收支计划和核算管理，按期编制记账凭证和各类财务报表，维护资金安全。</w:t>
      </w:r>
    </w:p>
    <w:p>
      <w:pPr>
        <w:adjustRightInd w:val="0"/>
        <w:snapToGrid w:val="0"/>
        <w:spacing w:line="578" w:lineRule="exact"/>
        <w:ind w:firstLine="720"/>
        <w:rPr>
          <w:rFonts w:eastAsia="方正黑体简体"/>
          <w:b/>
          <w:sz w:val="32"/>
          <w:szCs w:val="32"/>
        </w:rPr>
      </w:pPr>
      <w:r>
        <w:rPr>
          <w:rFonts w:eastAsia="方正黑体简体"/>
          <w:b/>
          <w:sz w:val="32"/>
          <w:szCs w:val="32"/>
        </w:rPr>
        <w:t>三、项目实施及管理情况</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（一）项目组织架构及实施流程。</w:t>
      </w:r>
    </w:p>
    <w:p>
      <w:pPr>
        <w:adjustRightInd w:val="0"/>
        <w:snapToGrid w:val="0"/>
        <w:spacing w:line="578" w:lineRule="exact"/>
        <w:ind w:firstLine="720"/>
        <w:rPr>
          <w:rFonts w:eastAsia="方正仿宋简体"/>
          <w:b/>
          <w:sz w:val="32"/>
          <w:szCs w:val="32"/>
          <w:lang w:val="zh-CN"/>
        </w:rPr>
      </w:pPr>
      <w:r>
        <w:rPr>
          <w:rFonts w:eastAsia="方正仿宋简体"/>
          <w:b/>
          <w:color w:val="333333"/>
          <w:sz w:val="31"/>
          <w:szCs w:val="31"/>
          <w:shd w:val="clear" w:color="auto" w:fill="FFFFFF"/>
        </w:rPr>
        <w:t>单位主要负责人负总责，分管领导具体负责，业务股室负责日常工作。</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（二）项目管理情况。</w:t>
      </w:r>
    </w:p>
    <w:p>
      <w:pPr>
        <w:adjustRightInd w:val="0"/>
        <w:snapToGrid w:val="0"/>
        <w:spacing w:line="578" w:lineRule="exact"/>
        <w:ind w:left="720"/>
        <w:rPr>
          <w:rFonts w:eastAsia="方正仿宋简体"/>
          <w:b/>
          <w:color w:val="333333"/>
          <w:sz w:val="31"/>
          <w:szCs w:val="31"/>
          <w:shd w:val="clear" w:color="auto" w:fill="FFFFFF"/>
        </w:rPr>
      </w:pPr>
      <w:r>
        <w:rPr>
          <w:rFonts w:eastAsia="方正仿宋简体"/>
          <w:b/>
          <w:color w:val="333333"/>
          <w:sz w:val="31"/>
          <w:szCs w:val="31"/>
          <w:shd w:val="clear" w:color="auto" w:fill="FFFFFF"/>
        </w:rPr>
        <w:t>严格按照相关法律法规和合同内容进行项目管理。</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（三）项目监管情况。</w:t>
      </w:r>
    </w:p>
    <w:p>
      <w:pPr>
        <w:adjustRightInd w:val="0"/>
        <w:snapToGrid w:val="0"/>
        <w:spacing w:line="578" w:lineRule="exact"/>
        <w:ind w:left="720"/>
        <w:rPr>
          <w:rFonts w:eastAsia="方正仿宋简体"/>
          <w:b/>
          <w:sz w:val="32"/>
          <w:szCs w:val="32"/>
          <w:lang w:val="zh-CN"/>
        </w:rPr>
      </w:pPr>
      <w:r>
        <w:rPr>
          <w:rFonts w:eastAsia="方正仿宋简体"/>
          <w:b/>
          <w:color w:val="333333"/>
          <w:sz w:val="31"/>
          <w:szCs w:val="31"/>
          <w:shd w:val="clear" w:color="auto" w:fill="FFFFFF"/>
        </w:rPr>
        <w:t>按照纪检、财政、审计等相关规定进行定期和不定期监管。</w:t>
      </w:r>
    </w:p>
    <w:p>
      <w:pPr>
        <w:adjustRightInd w:val="0"/>
        <w:snapToGrid w:val="0"/>
        <w:spacing w:line="578" w:lineRule="exact"/>
        <w:ind w:firstLine="720"/>
        <w:rPr>
          <w:rFonts w:eastAsia="方正黑体简体"/>
          <w:b/>
          <w:sz w:val="32"/>
          <w:szCs w:val="32"/>
        </w:rPr>
      </w:pPr>
      <w:r>
        <w:rPr>
          <w:rFonts w:eastAsia="方正黑体简体"/>
          <w:b/>
          <w:sz w:val="32"/>
          <w:szCs w:val="32"/>
        </w:rPr>
        <w:t>四、项目绩效情况</w:t>
      </w:r>
      <w:r>
        <w:rPr>
          <w:rFonts w:eastAsia="方正黑体简体"/>
          <w:b/>
          <w:sz w:val="32"/>
          <w:szCs w:val="32"/>
        </w:rPr>
        <w:tab/>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（一）项目完成情况。</w:t>
      </w:r>
    </w:p>
    <w:p>
      <w:pPr>
        <w:snapToGrid w:val="0"/>
        <w:spacing w:line="520" w:lineRule="exact"/>
        <w:ind w:firstLine="643" w:firstLineChars="200"/>
        <w:rPr>
          <w:rFonts w:eastAsia="方正仿宋简体"/>
          <w:b/>
          <w:sz w:val="32"/>
          <w:szCs w:val="32"/>
        </w:rPr>
      </w:pPr>
      <w:r>
        <w:rPr>
          <w:rFonts w:eastAsia="方正仿宋简体"/>
          <w:b/>
          <w:sz w:val="32"/>
          <w:szCs w:val="32"/>
        </w:rPr>
        <w:t>2020年</w:t>
      </w:r>
      <w:r>
        <w:rPr>
          <w:rFonts w:eastAsia="方正仿宋简体"/>
          <w:b/>
          <w:sz w:val="32"/>
          <w:szCs w:val="32"/>
          <w:lang w:val="zh-CN"/>
        </w:rPr>
        <w:t>顺利完成</w:t>
      </w:r>
      <w:r>
        <w:rPr>
          <w:rFonts w:eastAsia="方正仿宋简体"/>
          <w:b/>
          <w:bCs/>
          <w:sz w:val="32"/>
          <w:szCs w:val="32"/>
        </w:rPr>
        <w:t>十三届县委第7轮、第8轮对24个单位的常规巡察、省委第五巡视组对泸县开展为期1个月的常规巡视，按照省委、市委巡视巡察上下联动有关要求，派出1个巡察组配合省委对县法院开展上下联动巡视巡察；配合市委组建1个联动巡察组对玉蟾街道开展提级巡察；组建1个机动巡察组对福集等5个镇开展脱贫攻坚整改情况机动巡察；</w:t>
      </w:r>
      <w:r>
        <w:rPr>
          <w:rFonts w:eastAsia="方正仿宋简体"/>
          <w:b/>
          <w:sz w:val="32"/>
          <w:szCs w:val="32"/>
        </w:rPr>
        <w:t>派出巡察组1个（13人）对纳溪区区委办公室、区政府办公室开展市+区县交叉巡察。</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（二）项目效益情况。</w:t>
      </w:r>
    </w:p>
    <w:p>
      <w:pPr>
        <w:adjustRightInd w:val="0"/>
        <w:snapToGrid w:val="0"/>
        <w:spacing w:line="578" w:lineRule="exact"/>
        <w:ind w:firstLine="720"/>
        <w:rPr>
          <w:rFonts w:eastAsia="方正仿宋简体"/>
          <w:b/>
          <w:sz w:val="32"/>
          <w:szCs w:val="32"/>
          <w:lang w:val="zh-CN"/>
        </w:rPr>
      </w:pPr>
      <w:r>
        <w:rPr>
          <w:rFonts w:eastAsia="方正仿宋简体"/>
          <w:b/>
          <w:sz w:val="32"/>
          <w:szCs w:val="32"/>
          <w:lang w:val="zh-CN"/>
        </w:rPr>
        <w:t>发现问题、形成震慑、推动改革、促进发展。</w:t>
      </w:r>
    </w:p>
    <w:p>
      <w:pPr>
        <w:adjustRightInd w:val="0"/>
        <w:snapToGrid w:val="0"/>
        <w:spacing w:line="578" w:lineRule="exact"/>
        <w:ind w:firstLine="720"/>
        <w:rPr>
          <w:rFonts w:eastAsia="方正黑体简体"/>
          <w:b/>
          <w:sz w:val="32"/>
          <w:szCs w:val="32"/>
        </w:rPr>
      </w:pPr>
      <w:r>
        <w:rPr>
          <w:rFonts w:eastAsia="方正黑体简体"/>
          <w:b/>
          <w:sz w:val="32"/>
          <w:szCs w:val="32"/>
        </w:rPr>
        <w:t>五、评价结论及建议</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（一）评价结论。</w:t>
      </w:r>
    </w:p>
    <w:p>
      <w:pPr>
        <w:adjustRightInd w:val="0"/>
        <w:snapToGrid w:val="0"/>
        <w:spacing w:line="578" w:lineRule="exact"/>
        <w:ind w:firstLine="720"/>
        <w:rPr>
          <w:rFonts w:eastAsia="方正仿宋简体"/>
          <w:b/>
          <w:color w:val="333333"/>
          <w:sz w:val="31"/>
          <w:szCs w:val="31"/>
          <w:shd w:val="clear" w:color="auto" w:fill="FFFFFF"/>
        </w:rPr>
      </w:pPr>
      <w:r>
        <w:rPr>
          <w:rFonts w:eastAsia="方正仿宋简体"/>
          <w:b/>
          <w:color w:val="333333"/>
          <w:sz w:val="31"/>
          <w:szCs w:val="31"/>
          <w:shd w:val="clear" w:color="auto" w:fill="FFFFFF"/>
        </w:rPr>
        <w:t>项目规划科学、决策依据充分、资金到位及时、项目管理规范，实现对县域内所有单位和部门巡察全覆盖。</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（二）存在的问题。</w:t>
      </w:r>
    </w:p>
    <w:p>
      <w:pPr>
        <w:adjustRightInd w:val="0"/>
        <w:snapToGrid w:val="0"/>
        <w:spacing w:line="578" w:lineRule="exact"/>
        <w:ind w:firstLine="720"/>
        <w:rPr>
          <w:rFonts w:eastAsia="方正仿宋简体"/>
          <w:b/>
          <w:sz w:val="31"/>
          <w:szCs w:val="31"/>
          <w:shd w:val="clear" w:color="auto" w:fill="FFFFFF"/>
        </w:rPr>
      </w:pPr>
      <w:r>
        <w:rPr>
          <w:rFonts w:eastAsia="方正仿宋简体"/>
          <w:b/>
          <w:sz w:val="31"/>
          <w:szCs w:val="31"/>
          <w:shd w:val="clear" w:color="auto" w:fill="FFFFFF"/>
        </w:rPr>
        <w:t>绩效目标编制不够明确、细化和量化，预算控制有待加强，</w:t>
      </w:r>
      <w:r>
        <w:rPr>
          <w:rFonts w:eastAsia="方正仿宋简体"/>
          <w:b/>
          <w:sz w:val="31"/>
          <w:szCs w:val="31"/>
          <w:shd w:val="clear" w:color="auto" w:fill="FFFFFF"/>
          <w:lang w:val="zh-CN"/>
        </w:rPr>
        <w:t>预算编制欠科学，</w:t>
      </w:r>
      <w:r>
        <w:rPr>
          <w:rFonts w:eastAsia="方正仿宋简体"/>
          <w:b/>
          <w:sz w:val="31"/>
          <w:szCs w:val="31"/>
          <w:shd w:val="clear" w:color="auto" w:fill="FFFFFF"/>
        </w:rPr>
        <w:t>合理性有待提高。 </w:t>
      </w:r>
    </w:p>
    <w:p>
      <w:pPr>
        <w:adjustRightInd w:val="0"/>
        <w:snapToGrid w:val="0"/>
        <w:spacing w:line="578" w:lineRule="exact"/>
        <w:ind w:firstLine="720"/>
        <w:rPr>
          <w:rFonts w:eastAsia="方正楷体简体"/>
          <w:b/>
          <w:sz w:val="32"/>
          <w:szCs w:val="32"/>
          <w:lang w:val="zh-CN"/>
        </w:rPr>
      </w:pPr>
      <w:r>
        <w:rPr>
          <w:rFonts w:eastAsia="方正楷体简体"/>
          <w:b/>
          <w:sz w:val="32"/>
          <w:szCs w:val="32"/>
          <w:lang w:val="zh-CN"/>
        </w:rPr>
        <w:t>（三）相关建议。</w:t>
      </w:r>
    </w:p>
    <w:p>
      <w:pPr>
        <w:spacing w:line="578" w:lineRule="exact"/>
        <w:ind w:firstLine="640"/>
        <w:rPr>
          <w:rFonts w:eastAsia="方正仿宋简体"/>
          <w:b/>
          <w:color w:val="000000"/>
          <w:sz w:val="31"/>
          <w:szCs w:val="31"/>
          <w:shd w:val="clear" w:color="auto" w:fill="FFFFFF"/>
        </w:rPr>
      </w:pPr>
      <w:r>
        <w:rPr>
          <w:rFonts w:eastAsia="方正仿宋简体"/>
          <w:b/>
          <w:color w:val="000000"/>
          <w:sz w:val="31"/>
          <w:szCs w:val="31"/>
          <w:shd w:val="clear" w:color="auto" w:fill="FFFFFF"/>
        </w:rPr>
        <w:t>1、在编制项目资金绩效目标时要求指向明确、细化量化、合理可行。</w:t>
      </w:r>
    </w:p>
    <w:p>
      <w:pPr>
        <w:spacing w:line="578" w:lineRule="exact"/>
        <w:ind w:firstLine="640"/>
        <w:rPr>
          <w:rFonts w:eastAsia="方正仿宋简体"/>
          <w:b/>
          <w:color w:val="000000"/>
          <w:sz w:val="31"/>
          <w:szCs w:val="31"/>
          <w:shd w:val="clear" w:color="auto" w:fill="FFFFFF"/>
        </w:rPr>
      </w:pPr>
      <w:r>
        <w:rPr>
          <w:rFonts w:eastAsia="方正仿宋简体"/>
          <w:b/>
          <w:color w:val="000000"/>
          <w:sz w:val="31"/>
          <w:szCs w:val="31"/>
          <w:shd w:val="clear" w:color="auto" w:fill="FFFFFF"/>
        </w:rPr>
        <w:t>2、加强财务管理，严格财务审核，加强项目开展进度的实时跟踪，开展项目绩效评价，确保项目绩效目标的完成。</w:t>
      </w:r>
    </w:p>
    <w:p>
      <w:pPr>
        <w:spacing w:line="578" w:lineRule="exact"/>
        <w:ind w:firstLine="640"/>
        <w:rPr>
          <w:rFonts w:eastAsia="方正仿宋简体"/>
          <w:b/>
          <w:sz w:val="32"/>
          <w:szCs w:val="32"/>
        </w:rPr>
      </w:pPr>
    </w:p>
    <w:p>
      <w:pPr>
        <w:spacing w:line="578" w:lineRule="exact"/>
        <w:ind w:firstLine="640"/>
        <w:rPr>
          <w:rFonts w:eastAsia="方正仿宋简体"/>
          <w:b/>
          <w:sz w:val="32"/>
          <w:szCs w:val="32"/>
        </w:rPr>
      </w:pPr>
    </w:p>
    <w:p>
      <w:pPr>
        <w:widowControl/>
        <w:spacing w:line="578" w:lineRule="exact"/>
        <w:jc w:val="left"/>
        <w:rPr>
          <w:rStyle w:val="26"/>
          <w:rFonts w:eastAsia="方正仿宋简体"/>
        </w:rPr>
      </w:pPr>
    </w:p>
    <w:p>
      <w:pPr>
        <w:widowControl/>
        <w:spacing w:line="578" w:lineRule="exact"/>
        <w:jc w:val="left"/>
        <w:rPr>
          <w:rStyle w:val="26"/>
          <w:rFonts w:eastAsia="方正仿宋简体"/>
        </w:rPr>
      </w:pPr>
      <w:r>
        <w:rPr>
          <w:rStyle w:val="26"/>
          <w:rFonts w:eastAsia="方正仿宋简体"/>
        </w:rPr>
        <w:br w:type="page"/>
      </w:r>
    </w:p>
    <w:p>
      <w:pPr>
        <w:spacing w:line="600" w:lineRule="exact"/>
        <w:jc w:val="center"/>
        <w:outlineLvl w:val="0"/>
        <w:rPr>
          <w:rStyle w:val="26"/>
          <w:rFonts w:eastAsia="方正小标宋简体"/>
          <w:sz w:val="36"/>
          <w:szCs w:val="36"/>
        </w:rPr>
      </w:pPr>
      <w:bookmarkStart w:id="18" w:name="_Toc15396618"/>
      <w:r>
        <w:rPr>
          <w:rFonts w:eastAsia="方正小标宋简体"/>
          <w:color w:val="000000"/>
          <w:sz w:val="36"/>
          <w:szCs w:val="36"/>
        </w:rPr>
        <w:t>第</w:t>
      </w:r>
      <w:r>
        <w:rPr>
          <w:rStyle w:val="26"/>
          <w:rFonts w:eastAsia="方正小标宋简体"/>
          <w:sz w:val="36"/>
          <w:szCs w:val="36"/>
        </w:rPr>
        <w:t>五部分 附表</w:t>
      </w:r>
      <w:bookmarkEnd w:id="17"/>
      <w:bookmarkEnd w:id="18"/>
    </w:p>
    <w:p>
      <w:pPr>
        <w:spacing w:line="600" w:lineRule="exact"/>
        <w:jc w:val="center"/>
        <w:outlineLvl w:val="0"/>
        <w:rPr>
          <w:rFonts w:eastAsia="仿宋"/>
          <w:b/>
          <w:color w:val="000000"/>
          <w:sz w:val="44"/>
          <w:szCs w:val="44"/>
        </w:rPr>
      </w:pPr>
    </w:p>
    <w:p>
      <w:pPr>
        <w:pStyle w:val="3"/>
        <w:spacing w:before="0" w:after="0" w:line="578" w:lineRule="exact"/>
        <w:ind w:firstLine="643" w:firstLineChars="200"/>
        <w:rPr>
          <w:rFonts w:ascii="Times New Roman" w:hAnsi="Times New Roman" w:eastAsia="方正仿宋简体" w:cs="Times New Roman"/>
          <w:color w:val="000000"/>
        </w:rPr>
      </w:pPr>
      <w:bookmarkStart w:id="19" w:name="_Toc15396619"/>
      <w:r>
        <w:rPr>
          <w:rFonts w:ascii="Times New Roman" w:hAnsi="Times New Roman" w:eastAsia="方正仿宋简体" w:cs="Times New Roman"/>
          <w:color w:val="000000"/>
        </w:rPr>
        <w:t>一、收</w:t>
      </w:r>
      <w:r>
        <w:rPr>
          <w:rStyle w:val="27"/>
          <w:rFonts w:ascii="Times New Roman" w:hAnsi="Times New Roman" w:eastAsia="方正仿宋简体" w:cs="Times New Roman"/>
          <w:b/>
          <w:bCs w:val="0"/>
        </w:rPr>
        <w:t>入支出决算总表</w:t>
      </w:r>
      <w:bookmarkEnd w:id="19"/>
    </w:p>
    <w:p>
      <w:pPr>
        <w:pStyle w:val="3"/>
        <w:spacing w:before="0" w:after="0" w:line="578" w:lineRule="exact"/>
        <w:ind w:firstLine="643" w:firstLineChars="200"/>
        <w:rPr>
          <w:rFonts w:ascii="Times New Roman" w:hAnsi="Times New Roman" w:eastAsia="方正仿宋简体" w:cs="Times New Roman"/>
          <w:color w:val="000000"/>
        </w:rPr>
      </w:pPr>
      <w:bookmarkStart w:id="20" w:name="_Toc15396620"/>
      <w:r>
        <w:rPr>
          <w:rFonts w:ascii="Times New Roman" w:hAnsi="Times New Roman" w:eastAsia="方正仿宋简体" w:cs="Times New Roman"/>
          <w:color w:val="000000"/>
        </w:rPr>
        <w:t>二、收</w:t>
      </w:r>
      <w:r>
        <w:rPr>
          <w:rStyle w:val="27"/>
          <w:rFonts w:ascii="Times New Roman" w:hAnsi="Times New Roman" w:eastAsia="方正仿宋简体" w:cs="Times New Roman"/>
          <w:b/>
          <w:bCs w:val="0"/>
        </w:rPr>
        <w:t>入决算表</w:t>
      </w:r>
      <w:bookmarkEnd w:id="20"/>
    </w:p>
    <w:p>
      <w:pPr>
        <w:pStyle w:val="3"/>
        <w:spacing w:before="0" w:after="0" w:line="578" w:lineRule="exact"/>
        <w:ind w:firstLine="643" w:firstLineChars="200"/>
        <w:rPr>
          <w:rFonts w:ascii="Times New Roman" w:hAnsi="Times New Roman" w:eastAsia="方正仿宋简体" w:cs="Times New Roman"/>
          <w:color w:val="000000"/>
        </w:rPr>
      </w:pPr>
      <w:bookmarkStart w:id="21" w:name="_Toc15396621"/>
      <w:r>
        <w:rPr>
          <w:rStyle w:val="27"/>
          <w:rFonts w:ascii="Times New Roman" w:hAnsi="Times New Roman" w:eastAsia="方正仿宋简体" w:cs="Times New Roman"/>
          <w:b/>
          <w:bCs w:val="0"/>
        </w:rPr>
        <w:t>三、</w:t>
      </w:r>
      <w:r>
        <w:rPr>
          <w:rFonts w:ascii="Times New Roman" w:hAnsi="Times New Roman" w:eastAsia="方正仿宋简体" w:cs="Times New Roman"/>
          <w:color w:val="000000"/>
        </w:rPr>
        <w:t>支</w:t>
      </w:r>
      <w:r>
        <w:rPr>
          <w:rStyle w:val="27"/>
          <w:rFonts w:ascii="Times New Roman" w:hAnsi="Times New Roman" w:eastAsia="方正仿宋简体" w:cs="Times New Roman"/>
          <w:b/>
          <w:bCs w:val="0"/>
        </w:rPr>
        <w:t>出决算表</w:t>
      </w:r>
      <w:bookmarkEnd w:id="21"/>
    </w:p>
    <w:p>
      <w:pPr>
        <w:pStyle w:val="3"/>
        <w:spacing w:before="0" w:after="0" w:line="578" w:lineRule="exact"/>
        <w:ind w:firstLine="643" w:firstLineChars="200"/>
        <w:rPr>
          <w:rFonts w:ascii="Times New Roman" w:hAnsi="Times New Roman" w:eastAsia="方正仿宋简体" w:cs="Times New Roman"/>
          <w:color w:val="000000"/>
        </w:rPr>
      </w:pPr>
      <w:bookmarkStart w:id="22" w:name="_Toc15396622"/>
      <w:r>
        <w:rPr>
          <w:rStyle w:val="27"/>
          <w:rFonts w:ascii="Times New Roman" w:hAnsi="Times New Roman" w:eastAsia="方正仿宋简体" w:cs="Times New Roman"/>
          <w:b/>
          <w:bCs w:val="0"/>
        </w:rPr>
        <w:t>四、</w:t>
      </w:r>
      <w:r>
        <w:rPr>
          <w:rFonts w:ascii="Times New Roman" w:hAnsi="Times New Roman" w:eastAsia="方正仿宋简体" w:cs="Times New Roman"/>
          <w:color w:val="000000"/>
        </w:rPr>
        <w:t>财</w:t>
      </w:r>
      <w:r>
        <w:rPr>
          <w:rStyle w:val="27"/>
          <w:rFonts w:ascii="Times New Roman" w:hAnsi="Times New Roman" w:eastAsia="方正仿宋简体" w:cs="Times New Roman"/>
          <w:b/>
          <w:bCs w:val="0"/>
        </w:rPr>
        <w:t>政拨款收入支出决算总表</w:t>
      </w:r>
      <w:bookmarkEnd w:id="22"/>
    </w:p>
    <w:p>
      <w:pPr>
        <w:pStyle w:val="3"/>
        <w:spacing w:before="0" w:after="0" w:line="578" w:lineRule="exact"/>
        <w:ind w:firstLine="643" w:firstLineChars="200"/>
        <w:rPr>
          <w:rStyle w:val="27"/>
          <w:rFonts w:ascii="Times New Roman" w:hAnsi="Times New Roman" w:eastAsia="方正仿宋简体" w:cs="Times New Roman"/>
          <w:b/>
          <w:bCs w:val="0"/>
        </w:rPr>
      </w:pPr>
      <w:bookmarkStart w:id="23" w:name="_Toc15396623"/>
      <w:r>
        <w:rPr>
          <w:rStyle w:val="27"/>
          <w:rFonts w:ascii="Times New Roman" w:hAnsi="Times New Roman" w:eastAsia="方正仿宋简体" w:cs="Times New Roman"/>
          <w:b/>
          <w:bCs w:val="0"/>
        </w:rPr>
        <w:t>五、</w:t>
      </w:r>
      <w:r>
        <w:rPr>
          <w:rFonts w:ascii="Times New Roman" w:hAnsi="Times New Roman" w:eastAsia="方正仿宋简体" w:cs="Times New Roman"/>
          <w:color w:val="000000"/>
        </w:rPr>
        <w:t>财</w:t>
      </w:r>
      <w:r>
        <w:rPr>
          <w:rStyle w:val="27"/>
          <w:rFonts w:ascii="Times New Roman" w:hAnsi="Times New Roman" w:eastAsia="方正仿宋简体" w:cs="Times New Roman"/>
          <w:b/>
          <w:bCs w:val="0"/>
        </w:rPr>
        <w:t>政拨款支出决算明细表</w:t>
      </w:r>
      <w:bookmarkEnd w:id="23"/>
      <w:bookmarkStart w:id="24" w:name="_Toc15396624"/>
    </w:p>
    <w:p>
      <w:pPr>
        <w:pStyle w:val="3"/>
        <w:spacing w:before="0" w:after="0" w:line="578" w:lineRule="exact"/>
        <w:ind w:firstLine="643" w:firstLineChars="200"/>
        <w:rPr>
          <w:rFonts w:ascii="Times New Roman" w:hAnsi="Times New Roman" w:eastAsia="方正仿宋简体" w:cs="Times New Roman"/>
          <w:color w:val="000000"/>
        </w:rPr>
      </w:pPr>
      <w:r>
        <w:rPr>
          <w:rStyle w:val="27"/>
          <w:rFonts w:ascii="Times New Roman" w:hAnsi="Times New Roman" w:eastAsia="方正仿宋简体" w:cs="Times New Roman"/>
          <w:b/>
          <w:bCs w:val="0"/>
        </w:rPr>
        <w:t>六、</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般公共预算财政拨款支出决算表</w:t>
      </w:r>
      <w:bookmarkEnd w:id="24"/>
    </w:p>
    <w:p>
      <w:pPr>
        <w:pStyle w:val="3"/>
        <w:spacing w:before="0" w:after="0" w:line="578" w:lineRule="exact"/>
        <w:ind w:firstLine="643" w:firstLineChars="200"/>
        <w:rPr>
          <w:rFonts w:ascii="Times New Roman" w:hAnsi="Times New Roman" w:eastAsia="方正仿宋简体" w:cs="Times New Roman"/>
          <w:color w:val="000000"/>
        </w:rPr>
      </w:pPr>
      <w:bookmarkStart w:id="25" w:name="_Toc15396625"/>
      <w:r>
        <w:rPr>
          <w:rStyle w:val="27"/>
          <w:rFonts w:ascii="Times New Roman" w:hAnsi="Times New Roman" w:eastAsia="方正仿宋简体" w:cs="Times New Roman"/>
          <w:b/>
          <w:bCs w:val="0"/>
        </w:rPr>
        <w:t>七、</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般公共预算财政拨款支出决算明细表</w:t>
      </w:r>
      <w:bookmarkEnd w:id="25"/>
    </w:p>
    <w:p>
      <w:pPr>
        <w:pStyle w:val="3"/>
        <w:spacing w:before="0" w:after="0" w:line="578" w:lineRule="exact"/>
        <w:ind w:firstLine="643" w:firstLineChars="200"/>
        <w:rPr>
          <w:rFonts w:ascii="Times New Roman" w:hAnsi="Times New Roman" w:eastAsia="方正仿宋简体" w:cs="Times New Roman"/>
          <w:color w:val="000000"/>
        </w:rPr>
      </w:pPr>
      <w:bookmarkStart w:id="26" w:name="_Toc15396626"/>
      <w:r>
        <w:rPr>
          <w:rStyle w:val="27"/>
          <w:rFonts w:ascii="Times New Roman" w:hAnsi="Times New Roman" w:eastAsia="方正仿宋简体" w:cs="Times New Roman"/>
          <w:b/>
          <w:bCs w:val="0"/>
        </w:rPr>
        <w:t>八、</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般公共预算财政拨款基本支出决算表</w:t>
      </w:r>
      <w:bookmarkEnd w:id="26"/>
    </w:p>
    <w:p>
      <w:pPr>
        <w:pStyle w:val="3"/>
        <w:spacing w:before="0" w:after="0" w:line="578" w:lineRule="exact"/>
        <w:ind w:firstLine="643" w:firstLineChars="200"/>
        <w:rPr>
          <w:rFonts w:ascii="Times New Roman" w:hAnsi="Times New Roman" w:eastAsia="方正仿宋简体" w:cs="Times New Roman"/>
          <w:color w:val="000000"/>
        </w:rPr>
      </w:pPr>
      <w:bookmarkStart w:id="27" w:name="_Toc15396627"/>
      <w:r>
        <w:rPr>
          <w:rStyle w:val="27"/>
          <w:rFonts w:ascii="Times New Roman" w:hAnsi="Times New Roman" w:eastAsia="方正仿宋简体" w:cs="Times New Roman"/>
          <w:b/>
          <w:bCs w:val="0"/>
        </w:rPr>
        <w:t>九、</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般公共预算财政拨款项目支出决算表</w:t>
      </w:r>
      <w:bookmarkEnd w:id="27"/>
    </w:p>
    <w:p>
      <w:pPr>
        <w:pStyle w:val="3"/>
        <w:spacing w:before="0" w:after="0" w:line="578" w:lineRule="exact"/>
        <w:ind w:firstLine="643" w:firstLineChars="200"/>
        <w:rPr>
          <w:rFonts w:ascii="Times New Roman" w:hAnsi="Times New Roman" w:eastAsia="方正仿宋简体" w:cs="Times New Roman"/>
          <w:color w:val="000000"/>
        </w:rPr>
      </w:pPr>
      <w:bookmarkStart w:id="28" w:name="_Toc15396628"/>
      <w:r>
        <w:rPr>
          <w:rStyle w:val="27"/>
          <w:rFonts w:ascii="Times New Roman" w:hAnsi="Times New Roman" w:eastAsia="方正仿宋简体" w:cs="Times New Roman"/>
          <w:b/>
          <w:bCs w:val="0"/>
        </w:rPr>
        <w:t>十、</w:t>
      </w:r>
      <w:r>
        <w:rPr>
          <w:rFonts w:ascii="Times New Roman" w:hAnsi="Times New Roman" w:eastAsia="方正仿宋简体" w:cs="Times New Roman"/>
          <w:color w:val="000000"/>
        </w:rPr>
        <w:t>一</w:t>
      </w:r>
      <w:r>
        <w:rPr>
          <w:rStyle w:val="27"/>
          <w:rFonts w:ascii="Times New Roman" w:hAnsi="Times New Roman" w:eastAsia="方正仿宋简体" w:cs="Times New Roman"/>
          <w:b/>
          <w:bCs w:val="0"/>
        </w:rPr>
        <w:t>般公共预算财政拨款“三公”经费支出决算表</w:t>
      </w:r>
      <w:bookmarkEnd w:id="28"/>
    </w:p>
    <w:p>
      <w:pPr>
        <w:pStyle w:val="3"/>
        <w:spacing w:before="0" w:after="0" w:line="578" w:lineRule="exact"/>
        <w:ind w:firstLine="643" w:firstLineChars="200"/>
        <w:rPr>
          <w:rFonts w:ascii="Times New Roman" w:hAnsi="Times New Roman" w:eastAsia="方正仿宋简体" w:cs="Times New Roman"/>
          <w:color w:val="000000"/>
        </w:rPr>
      </w:pPr>
      <w:bookmarkStart w:id="29" w:name="_Toc15396629"/>
      <w:r>
        <w:rPr>
          <w:rStyle w:val="27"/>
          <w:rFonts w:ascii="Times New Roman" w:hAnsi="Times New Roman" w:eastAsia="方正仿宋简体" w:cs="Times New Roman"/>
          <w:b/>
          <w:bCs w:val="0"/>
        </w:rPr>
        <w:t>十一、</w:t>
      </w:r>
      <w:r>
        <w:rPr>
          <w:rFonts w:ascii="Times New Roman" w:hAnsi="Times New Roman" w:eastAsia="方正仿宋简体" w:cs="Times New Roman"/>
          <w:color w:val="000000"/>
        </w:rPr>
        <w:t>政</w:t>
      </w:r>
      <w:r>
        <w:rPr>
          <w:rStyle w:val="27"/>
          <w:rFonts w:ascii="Times New Roman" w:hAnsi="Times New Roman" w:eastAsia="方正仿宋简体" w:cs="Times New Roman"/>
          <w:b/>
          <w:bCs w:val="0"/>
        </w:rPr>
        <w:t>府性基金预算财政拨款收入支出决算表</w:t>
      </w:r>
      <w:bookmarkEnd w:id="29"/>
    </w:p>
    <w:p>
      <w:pPr>
        <w:pStyle w:val="3"/>
        <w:spacing w:before="0" w:after="0" w:line="578" w:lineRule="exact"/>
        <w:ind w:firstLine="643" w:firstLineChars="200"/>
        <w:rPr>
          <w:rFonts w:ascii="Times New Roman" w:hAnsi="Times New Roman" w:eastAsia="方正仿宋简体" w:cs="Times New Roman"/>
          <w:color w:val="000000"/>
        </w:rPr>
      </w:pPr>
      <w:bookmarkStart w:id="30" w:name="_Toc15396630"/>
      <w:r>
        <w:rPr>
          <w:rStyle w:val="27"/>
          <w:rFonts w:ascii="Times New Roman" w:hAnsi="Times New Roman" w:eastAsia="方正仿宋简体" w:cs="Times New Roman"/>
          <w:b/>
          <w:bCs w:val="0"/>
        </w:rPr>
        <w:t>十二、</w:t>
      </w:r>
      <w:r>
        <w:rPr>
          <w:rFonts w:ascii="Times New Roman" w:hAnsi="Times New Roman" w:eastAsia="方正仿宋简体" w:cs="Times New Roman"/>
          <w:color w:val="000000"/>
        </w:rPr>
        <w:t>政</w:t>
      </w:r>
      <w:r>
        <w:rPr>
          <w:rStyle w:val="27"/>
          <w:rFonts w:ascii="Times New Roman" w:hAnsi="Times New Roman" w:eastAsia="方正仿宋简体" w:cs="Times New Roman"/>
          <w:b/>
          <w:bCs w:val="0"/>
        </w:rPr>
        <w:t>府性基金预算财政拨款“三公”经费支出决算表</w:t>
      </w:r>
      <w:bookmarkEnd w:id="30"/>
    </w:p>
    <w:p>
      <w:pPr>
        <w:pStyle w:val="3"/>
        <w:spacing w:before="0" w:after="0" w:line="578" w:lineRule="exact"/>
        <w:ind w:firstLine="643" w:firstLineChars="200"/>
        <w:rPr>
          <w:rFonts w:ascii="Times New Roman" w:hAnsi="Times New Roman" w:eastAsia="方正仿宋简体" w:cs="Times New Roman"/>
          <w:color w:val="000000" w:themeColor="text1"/>
        </w:rPr>
      </w:pPr>
      <w:bookmarkStart w:id="31" w:name="_Toc15396631"/>
      <w:r>
        <w:rPr>
          <w:rStyle w:val="27"/>
          <w:rFonts w:ascii="Times New Roman" w:hAnsi="Times New Roman" w:eastAsia="方正仿宋简体" w:cs="Times New Roman"/>
          <w:b/>
          <w:bCs w:val="0"/>
        </w:rPr>
        <w:t>十三、</w:t>
      </w:r>
      <w:r>
        <w:rPr>
          <w:rFonts w:ascii="Times New Roman" w:hAnsi="Times New Roman" w:eastAsia="方正仿宋简体" w:cs="Times New Roman"/>
          <w:color w:val="000000"/>
        </w:rPr>
        <w:t>国</w:t>
      </w:r>
      <w:r>
        <w:rPr>
          <w:rStyle w:val="27"/>
          <w:rFonts w:ascii="Times New Roman" w:hAnsi="Times New Roman" w:eastAsia="方正仿宋简体" w:cs="Times New Roman"/>
          <w:b/>
          <w:bCs w:val="0"/>
        </w:rPr>
        <w:t>有资本经营预算支出决算表</w:t>
      </w:r>
      <w:bookmarkEnd w:id="31"/>
    </w:p>
    <w:sectPr>
      <w:footerReference r:id="rId7" w:type="first"/>
      <w:pgSz w:w="11906" w:h="16838"/>
      <w:pgMar w:top="2098" w:right="1474" w:bottom="1985" w:left="1588" w:header="851" w:footer="1418"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78C6CA-27F2-4049-AC4E-33CAF1EF5C62}"/>
  </w:font>
  <w:font w:name="Arial">
    <w:panose1 w:val="020B0604020202020204"/>
    <w:charset w:val="01"/>
    <w:family w:val="swiss"/>
    <w:pitch w:val="default"/>
    <w:sig w:usb0="E0002AFF" w:usb1="C0007843" w:usb2="00000009" w:usb3="00000000" w:csb0="400001FF" w:csb1="FFFF0000"/>
    <w:embedRegular r:id="rId2" w:fontKey="{765E1A80-7CF4-4A2F-B33F-8BB0C46F6DDB}"/>
  </w:font>
  <w:font w:name="黑体">
    <w:panose1 w:val="02010609060101010101"/>
    <w:charset w:val="86"/>
    <w:family w:val="auto"/>
    <w:pitch w:val="default"/>
    <w:sig w:usb0="800002BF" w:usb1="38CF7CFA" w:usb2="00000016" w:usb3="00000000" w:csb0="00040001" w:csb1="00000000"/>
    <w:embedRegular r:id="rId3" w:fontKey="{40AC7EB4-5245-4A54-B816-7C0C99CA05C5}"/>
  </w:font>
  <w:font w:name="Courier New">
    <w:panose1 w:val="02070309020205020404"/>
    <w:charset w:val="01"/>
    <w:family w:val="modern"/>
    <w:pitch w:val="default"/>
    <w:sig w:usb0="E0002AFF" w:usb1="C0007843" w:usb2="00000009" w:usb3="00000000" w:csb0="400001FF" w:csb1="FFFF0000"/>
    <w:embedRegular r:id="rId4" w:fontKey="{7884B05D-34F3-4EC1-B3C6-8EB87F9D0E5A}"/>
  </w:font>
  <w:font w:name="Symbol">
    <w:panose1 w:val="05050102010706020507"/>
    <w:charset w:val="02"/>
    <w:family w:val="roman"/>
    <w:pitch w:val="default"/>
    <w:sig w:usb0="00000000" w:usb1="00000000" w:usb2="00000000" w:usb3="00000000" w:csb0="80000000" w:csb1="00000000"/>
    <w:embedRegular r:id="rId5" w:fontKey="{64ABCC48-716C-4DB2-879D-9A79C3EA4517}"/>
  </w:font>
  <w:font w:name="Calibri">
    <w:panose1 w:val="020F0502020204030204"/>
    <w:charset w:val="00"/>
    <w:family w:val="swiss"/>
    <w:pitch w:val="default"/>
    <w:sig w:usb0="E10002FF" w:usb1="4000ACFF" w:usb2="00000009" w:usb3="00000000" w:csb0="2000019F" w:csb1="00000000"/>
    <w:embedRegular r:id="rId6" w:fontKey="{13E475E7-03B7-4D25-9A2E-69AAD86B444F}"/>
  </w:font>
  <w:font w:name="Cambria">
    <w:panose1 w:val="02040503050406030204"/>
    <w:charset w:val="00"/>
    <w:family w:val="roman"/>
    <w:pitch w:val="default"/>
    <w:sig w:usb0="E00002FF" w:usb1="400004FF" w:usb2="00000000" w:usb3="00000000" w:csb0="2000019F" w:csb1="00000000"/>
    <w:embedRegular r:id="rId7" w:fontKey="{B25CEBE9-5072-4BCA-A445-8CB7465F4E40}"/>
  </w:font>
  <w:font w:name="仿宋_GB2312">
    <w:altName w:val="仿宋"/>
    <w:panose1 w:val="02010609030101010101"/>
    <w:charset w:val="86"/>
    <w:family w:val="modern"/>
    <w:pitch w:val="default"/>
    <w:sig w:usb0="00000000" w:usb1="00000000" w:usb2="00000010" w:usb3="00000000" w:csb0="00040000" w:csb1="00000000"/>
    <w:embedRegular r:id="rId8" w:fontKey="{D4AF88F1-0618-448C-8980-F0E76F494B4E}"/>
  </w:font>
  <w:font w:name="仿宋">
    <w:panose1 w:val="02010609060101010101"/>
    <w:charset w:val="86"/>
    <w:family w:val="auto"/>
    <w:pitch w:val="default"/>
    <w:sig w:usb0="800002BF" w:usb1="38CF7CFA" w:usb2="00000016" w:usb3="00000000" w:csb0="00040001" w:csb1="00000000"/>
    <w:embedRegular r:id="rId9" w:fontKey="{7083D460-1DDE-4BE1-94B5-D2D0039D57FC}"/>
  </w:font>
  <w:font w:name="方正小标宋简体">
    <w:panose1 w:val="02010601030101010101"/>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10" w:fontKey="{E21ADD99-6504-4EEE-A19E-8420CC13B5F2}"/>
  </w:font>
  <w:font w:name="方正黑体简体">
    <w:panose1 w:val="03000509000000000000"/>
    <w:charset w:val="86"/>
    <w:family w:val="script"/>
    <w:pitch w:val="default"/>
    <w:sig w:usb0="00000001" w:usb1="080E0000" w:usb2="00000000" w:usb3="00000000" w:csb0="00040000" w:csb1="00000000"/>
    <w:embedRegular r:id="rId11" w:fontKey="{DF4069D1-E6B0-42FF-8404-5A866AE5BBC6}"/>
  </w:font>
  <w:font w:name="方正楷体简体">
    <w:panose1 w:val="03000509000000000000"/>
    <w:charset w:val="86"/>
    <w:family w:val="script"/>
    <w:pitch w:val="default"/>
    <w:sig w:usb0="00000001" w:usb1="080E0000" w:usb2="00000000" w:usb3="00000000" w:csb0="00040000" w:csb1="00000000"/>
    <w:embedRegular r:id="rId12" w:fontKey="{AF50BFAA-0697-4E59-BB48-F11A9F705632}"/>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汉仪旗黑-55简">
    <w:altName w:val="黑体"/>
    <w:panose1 w:val="00020600040101010101"/>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21</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22</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72"/>
      <w:jc w:val="right"/>
      <w:rPr>
        <w:rFonts w:asciiTheme="minorEastAsia" w:hAnsiTheme="minorEastAsia"/>
        <w:sz w:val="28"/>
        <w:szCs w:val="28"/>
      </w:rPr>
    </w:pPr>
    <w:r>
      <w:rPr>
        <w:rStyle w:val="16"/>
        <w:rFonts w:hint="eastAsia" w:asciiTheme="minorEastAsia" w:hAnsiTheme="minorEastAsia"/>
        <w:sz w:val="28"/>
        <w:szCs w:val="28"/>
      </w:rPr>
      <w:t xml:space="preserve">— </w:t>
    </w:r>
    <w:r>
      <w:rPr>
        <w:rFonts w:asciiTheme="minorEastAsia" w:hAnsiTheme="minorEastAsia"/>
        <w:sz w:val="28"/>
        <w:szCs w:val="28"/>
      </w:rPr>
      <w:fldChar w:fldCharType="begin"/>
    </w:r>
    <w:r>
      <w:rPr>
        <w:rStyle w:val="16"/>
        <w:rFonts w:asciiTheme="minorEastAsia" w:hAnsiTheme="minorEastAsia"/>
        <w:sz w:val="28"/>
        <w:szCs w:val="28"/>
      </w:rPr>
      <w:instrText xml:space="preserve">PAGE  </w:instrText>
    </w:r>
    <w:r>
      <w:rPr>
        <w:rFonts w:asciiTheme="minorEastAsia" w:hAnsiTheme="minorEastAsia"/>
        <w:sz w:val="28"/>
        <w:szCs w:val="28"/>
      </w:rPr>
      <w:fldChar w:fldCharType="separate"/>
    </w:r>
    <w:r>
      <w:rPr>
        <w:rStyle w:val="16"/>
        <w:rFonts w:asciiTheme="minorEastAsia" w:hAnsiTheme="minorEastAsia"/>
        <w:sz w:val="28"/>
        <w:szCs w:val="28"/>
      </w:rPr>
      <w:t>1</w:t>
    </w:r>
    <w:r>
      <w:rPr>
        <w:rFonts w:asciiTheme="minorEastAsia" w:hAnsiTheme="minorEastAsia"/>
        <w:sz w:val="28"/>
        <w:szCs w:val="28"/>
      </w:rPr>
      <w:fldChar w:fldCharType="end"/>
    </w:r>
    <w:r>
      <w:rPr>
        <w:rStyle w:val="16"/>
        <w:rFonts w:hint="eastAsia" w:asciiTheme="minorEastAsia" w:hAnsiTheme="minor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3FAB01A8"/>
    <w:multiLevelType w:val="singleLevel"/>
    <w:tmpl w:val="3FAB01A8"/>
    <w:lvl w:ilvl="0" w:tentative="0">
      <w:start w:val="2"/>
      <w:numFmt w:val="chineseCounting"/>
      <w:suff w:val="nothing"/>
      <w:lvlText w:val="（%1）"/>
      <w:lvlJc w:val="left"/>
      <w:rPr>
        <w:rFonts w:hint="eastAsia"/>
      </w:rPr>
    </w:lvl>
  </w:abstractNum>
  <w:abstractNum w:abstractNumId="3">
    <w:nsid w:val="531A5859"/>
    <w:multiLevelType w:val="multilevel"/>
    <w:tmpl w:val="531A5859"/>
    <w:lvl w:ilvl="0" w:tentative="0">
      <w:start w:val="1"/>
      <w:numFmt w:val="japaneseCounting"/>
      <w:lvlText w:val="第%1部"/>
      <w:lvlJc w:val="left"/>
      <w:pPr>
        <w:ind w:left="1500" w:hanging="1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542D8D2"/>
    <w:multiLevelType w:val="singleLevel"/>
    <w:tmpl w:val="6542D8D2"/>
    <w:lvl w:ilvl="0" w:tentative="0">
      <w:start w:val="2"/>
      <w:numFmt w:val="chineseCounting"/>
      <w:suff w:val="nothing"/>
      <w:lvlText w:val="%1、"/>
      <w:lvlJc w:val="left"/>
      <w:rPr>
        <w:rFonts w:hint="eastAsia"/>
      </w:rPr>
    </w:lvl>
  </w:abstractNum>
  <w:abstractNum w:abstractNumId="5">
    <w:nsid w:val="71593DE9"/>
    <w:multiLevelType w:val="multilevel"/>
    <w:tmpl w:val="71593DE9"/>
    <w:lvl w:ilvl="0" w:tentative="0">
      <w:start w:val="1"/>
      <w:numFmt w:val="japaneseCounting"/>
      <w:lvlText w:val="%1、"/>
      <w:lvlJc w:val="left"/>
      <w:pPr>
        <w:ind w:left="1395" w:hanging="720"/>
      </w:pPr>
      <w:rPr>
        <w:rFonts w:hint="default"/>
      </w:rPr>
    </w:lvl>
    <w:lvl w:ilvl="1" w:tentative="0">
      <w:start w:val="1"/>
      <w:numFmt w:val="lowerLetter"/>
      <w:lvlText w:val="%2)"/>
      <w:lvlJc w:val="left"/>
      <w:pPr>
        <w:ind w:left="1515" w:hanging="420"/>
      </w:pPr>
    </w:lvl>
    <w:lvl w:ilvl="2" w:tentative="0">
      <w:start w:val="1"/>
      <w:numFmt w:val="lowerRoman"/>
      <w:lvlText w:val="%3."/>
      <w:lvlJc w:val="right"/>
      <w:pPr>
        <w:ind w:left="1935" w:hanging="420"/>
      </w:pPr>
    </w:lvl>
    <w:lvl w:ilvl="3" w:tentative="0">
      <w:start w:val="1"/>
      <w:numFmt w:val="decimal"/>
      <w:lvlText w:val="%4."/>
      <w:lvlJc w:val="left"/>
      <w:pPr>
        <w:ind w:left="2355" w:hanging="420"/>
      </w:pPr>
    </w:lvl>
    <w:lvl w:ilvl="4" w:tentative="0">
      <w:start w:val="1"/>
      <w:numFmt w:val="lowerLetter"/>
      <w:lvlText w:val="%5)"/>
      <w:lvlJc w:val="left"/>
      <w:pPr>
        <w:ind w:left="2775" w:hanging="420"/>
      </w:pPr>
    </w:lvl>
    <w:lvl w:ilvl="5" w:tentative="0">
      <w:start w:val="1"/>
      <w:numFmt w:val="lowerRoman"/>
      <w:lvlText w:val="%6."/>
      <w:lvlJc w:val="right"/>
      <w:pPr>
        <w:ind w:left="3195" w:hanging="420"/>
      </w:pPr>
    </w:lvl>
    <w:lvl w:ilvl="6" w:tentative="0">
      <w:start w:val="1"/>
      <w:numFmt w:val="decimal"/>
      <w:lvlText w:val="%7."/>
      <w:lvlJc w:val="left"/>
      <w:pPr>
        <w:ind w:left="3615" w:hanging="420"/>
      </w:pPr>
    </w:lvl>
    <w:lvl w:ilvl="7" w:tentative="0">
      <w:start w:val="1"/>
      <w:numFmt w:val="lowerLetter"/>
      <w:lvlText w:val="%8)"/>
      <w:lvlJc w:val="left"/>
      <w:pPr>
        <w:ind w:left="4035" w:hanging="420"/>
      </w:pPr>
    </w:lvl>
    <w:lvl w:ilvl="8" w:tentative="0">
      <w:start w:val="1"/>
      <w:numFmt w:val="lowerRoman"/>
      <w:lvlText w:val="%9."/>
      <w:lvlJc w:val="right"/>
      <w:pPr>
        <w:ind w:left="4455" w:hanging="42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ZDI4OWZjOTUxYjFmZmVjNGE3NjE0MmY4ZGVjYmM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74817"/>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0910"/>
    <w:rsid w:val="00260C38"/>
    <w:rsid w:val="002616C0"/>
    <w:rsid w:val="00265372"/>
    <w:rsid w:val="002662AA"/>
    <w:rsid w:val="00280496"/>
    <w:rsid w:val="00294DC9"/>
    <w:rsid w:val="00295495"/>
    <w:rsid w:val="002A31DE"/>
    <w:rsid w:val="002B2613"/>
    <w:rsid w:val="002D19B0"/>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4F403E"/>
    <w:rsid w:val="00505A47"/>
    <w:rsid w:val="00512FDA"/>
    <w:rsid w:val="00520DA0"/>
    <w:rsid w:val="005664BB"/>
    <w:rsid w:val="00566FFA"/>
    <w:rsid w:val="00572387"/>
    <w:rsid w:val="0057481D"/>
    <w:rsid w:val="00575F0B"/>
    <w:rsid w:val="0058486E"/>
    <w:rsid w:val="00585B33"/>
    <w:rsid w:val="0059014D"/>
    <w:rsid w:val="005B5C64"/>
    <w:rsid w:val="005C6BD0"/>
    <w:rsid w:val="005C6C4C"/>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27533"/>
    <w:rsid w:val="007416B6"/>
    <w:rsid w:val="00746F48"/>
    <w:rsid w:val="0075404D"/>
    <w:rsid w:val="0076182A"/>
    <w:rsid w:val="00762E4C"/>
    <w:rsid w:val="00767B7E"/>
    <w:rsid w:val="007770C3"/>
    <w:rsid w:val="00784D24"/>
    <w:rsid w:val="00785FBA"/>
    <w:rsid w:val="00786E4A"/>
    <w:rsid w:val="007875EB"/>
    <w:rsid w:val="0079426B"/>
    <w:rsid w:val="007B5C07"/>
    <w:rsid w:val="007D1682"/>
    <w:rsid w:val="007D312A"/>
    <w:rsid w:val="007D3F19"/>
    <w:rsid w:val="007E23B0"/>
    <w:rsid w:val="007F1991"/>
    <w:rsid w:val="007F2C2F"/>
    <w:rsid w:val="007F55FC"/>
    <w:rsid w:val="007F5665"/>
    <w:rsid w:val="00800112"/>
    <w:rsid w:val="00813348"/>
    <w:rsid w:val="008253BB"/>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0F2"/>
    <w:rsid w:val="00951248"/>
    <w:rsid w:val="0095152F"/>
    <w:rsid w:val="00954C49"/>
    <w:rsid w:val="00955E37"/>
    <w:rsid w:val="0097099F"/>
    <w:rsid w:val="00971997"/>
    <w:rsid w:val="00971FFC"/>
    <w:rsid w:val="0098660A"/>
    <w:rsid w:val="009931C3"/>
    <w:rsid w:val="009B2C43"/>
    <w:rsid w:val="009B4EAE"/>
    <w:rsid w:val="009B7573"/>
    <w:rsid w:val="009C22F4"/>
    <w:rsid w:val="009C2E98"/>
    <w:rsid w:val="009C37FB"/>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29BE"/>
    <w:rsid w:val="00A56DF2"/>
    <w:rsid w:val="00A56E6E"/>
    <w:rsid w:val="00A67AB5"/>
    <w:rsid w:val="00A733B2"/>
    <w:rsid w:val="00A741C2"/>
    <w:rsid w:val="00A91760"/>
    <w:rsid w:val="00A93B00"/>
    <w:rsid w:val="00A93C21"/>
    <w:rsid w:val="00AB64C9"/>
    <w:rsid w:val="00AC3C6A"/>
    <w:rsid w:val="00AD0F83"/>
    <w:rsid w:val="00AD5620"/>
    <w:rsid w:val="00AD656B"/>
    <w:rsid w:val="00AD7C1B"/>
    <w:rsid w:val="00AE16BA"/>
    <w:rsid w:val="00AE1EBE"/>
    <w:rsid w:val="00B03C9D"/>
    <w:rsid w:val="00B060AE"/>
    <w:rsid w:val="00B10517"/>
    <w:rsid w:val="00B12890"/>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87ACD"/>
    <w:rsid w:val="00B944D6"/>
    <w:rsid w:val="00BB4DF0"/>
    <w:rsid w:val="00BB568C"/>
    <w:rsid w:val="00BC289F"/>
    <w:rsid w:val="00BC2D50"/>
    <w:rsid w:val="00BC5361"/>
    <w:rsid w:val="00BC5460"/>
    <w:rsid w:val="00BC6B50"/>
    <w:rsid w:val="00BD0E25"/>
    <w:rsid w:val="00BE17DE"/>
    <w:rsid w:val="00BF5BD6"/>
    <w:rsid w:val="00C03E31"/>
    <w:rsid w:val="00C30E69"/>
    <w:rsid w:val="00C33E72"/>
    <w:rsid w:val="00C354B2"/>
    <w:rsid w:val="00C35554"/>
    <w:rsid w:val="00C42709"/>
    <w:rsid w:val="00C533CC"/>
    <w:rsid w:val="00C5751C"/>
    <w:rsid w:val="00C61BFC"/>
    <w:rsid w:val="00C62B85"/>
    <w:rsid w:val="00C65438"/>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37938"/>
    <w:rsid w:val="00D51276"/>
    <w:rsid w:val="00D56366"/>
    <w:rsid w:val="00D7035F"/>
    <w:rsid w:val="00DA634F"/>
    <w:rsid w:val="00DA65AC"/>
    <w:rsid w:val="00DB1913"/>
    <w:rsid w:val="00DC410D"/>
    <w:rsid w:val="00DC5A81"/>
    <w:rsid w:val="00DC68CA"/>
    <w:rsid w:val="00DC7CBA"/>
    <w:rsid w:val="00DD73B7"/>
    <w:rsid w:val="00DF28BC"/>
    <w:rsid w:val="00DF34B9"/>
    <w:rsid w:val="00DF56F4"/>
    <w:rsid w:val="00E01053"/>
    <w:rsid w:val="00E07ACF"/>
    <w:rsid w:val="00E331A1"/>
    <w:rsid w:val="00E33202"/>
    <w:rsid w:val="00E336A9"/>
    <w:rsid w:val="00E472B1"/>
    <w:rsid w:val="00E50624"/>
    <w:rsid w:val="00E50F61"/>
    <w:rsid w:val="00E568DF"/>
    <w:rsid w:val="00E64269"/>
    <w:rsid w:val="00E66797"/>
    <w:rsid w:val="00E82267"/>
    <w:rsid w:val="00E853CE"/>
    <w:rsid w:val="00E867B6"/>
    <w:rsid w:val="00E87F08"/>
    <w:rsid w:val="00EA010F"/>
    <w:rsid w:val="00ED1B63"/>
    <w:rsid w:val="00ED3C1F"/>
    <w:rsid w:val="00ED4085"/>
    <w:rsid w:val="00ED420E"/>
    <w:rsid w:val="00ED6FBE"/>
    <w:rsid w:val="00EE2F57"/>
    <w:rsid w:val="00EF4C34"/>
    <w:rsid w:val="00EF53A1"/>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AA5871"/>
    <w:rsid w:val="047E53B6"/>
    <w:rsid w:val="097D3EDD"/>
    <w:rsid w:val="0B05023F"/>
    <w:rsid w:val="0BD57275"/>
    <w:rsid w:val="0F3D47DA"/>
    <w:rsid w:val="0FDE1960"/>
    <w:rsid w:val="0FFB0C5E"/>
    <w:rsid w:val="10C055FF"/>
    <w:rsid w:val="14101BAC"/>
    <w:rsid w:val="16BB723D"/>
    <w:rsid w:val="18296B0B"/>
    <w:rsid w:val="1A3B5A62"/>
    <w:rsid w:val="1D7B17E9"/>
    <w:rsid w:val="1DB35345"/>
    <w:rsid w:val="1EC22CE6"/>
    <w:rsid w:val="1F7B7548"/>
    <w:rsid w:val="209F3A25"/>
    <w:rsid w:val="212B18AB"/>
    <w:rsid w:val="22EA43A1"/>
    <w:rsid w:val="240371BF"/>
    <w:rsid w:val="24115825"/>
    <w:rsid w:val="255E7BD7"/>
    <w:rsid w:val="25A32CEF"/>
    <w:rsid w:val="26262F60"/>
    <w:rsid w:val="273B24D0"/>
    <w:rsid w:val="29490A2F"/>
    <w:rsid w:val="29FD04D3"/>
    <w:rsid w:val="2AE8196F"/>
    <w:rsid w:val="2C4202AD"/>
    <w:rsid w:val="319F7F4E"/>
    <w:rsid w:val="3519772F"/>
    <w:rsid w:val="35DD1696"/>
    <w:rsid w:val="35ED067D"/>
    <w:rsid w:val="37C33FCA"/>
    <w:rsid w:val="39C61F90"/>
    <w:rsid w:val="3C975423"/>
    <w:rsid w:val="3DEC0822"/>
    <w:rsid w:val="40862BED"/>
    <w:rsid w:val="4262021C"/>
    <w:rsid w:val="4796124F"/>
    <w:rsid w:val="47A85AAA"/>
    <w:rsid w:val="48BF5410"/>
    <w:rsid w:val="4DDD3C5A"/>
    <w:rsid w:val="4E034E90"/>
    <w:rsid w:val="4ECE2238"/>
    <w:rsid w:val="500A38E9"/>
    <w:rsid w:val="508841E9"/>
    <w:rsid w:val="55322108"/>
    <w:rsid w:val="5AE80FD6"/>
    <w:rsid w:val="5AED4536"/>
    <w:rsid w:val="5B2A303A"/>
    <w:rsid w:val="628C2408"/>
    <w:rsid w:val="64A61256"/>
    <w:rsid w:val="64B323EA"/>
    <w:rsid w:val="65DE3082"/>
    <w:rsid w:val="67250A52"/>
    <w:rsid w:val="692E4CAF"/>
    <w:rsid w:val="6B2F224A"/>
    <w:rsid w:val="6CF46309"/>
    <w:rsid w:val="6D4D0B3A"/>
    <w:rsid w:val="72734D90"/>
    <w:rsid w:val="738D4FF8"/>
    <w:rsid w:val="7781097F"/>
    <w:rsid w:val="7AE57E2A"/>
    <w:rsid w:val="7D0616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3"/>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21"/>
    <w:qFormat/>
    <w:uiPriority w:val="0"/>
    <w:pPr>
      <w:tabs>
        <w:tab w:val="center" w:pos="4153"/>
        <w:tab w:val="right" w:pos="8306"/>
      </w:tabs>
      <w:snapToGrid w:val="0"/>
      <w:jc w:val="left"/>
    </w:pPr>
    <w:rPr>
      <w:rFonts w:ascii="Calibri" w:hAnsi="Calibri"/>
      <w:kern w:val="0"/>
      <w:sz w:val="18"/>
      <w:szCs w:val="18"/>
    </w:rPr>
  </w:style>
  <w:style w:type="paragraph" w:styleId="9">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character" w:styleId="15">
    <w:name w:val="Strong"/>
    <w:basedOn w:val="14"/>
    <w:qFormat/>
    <w:uiPriority w:val="99"/>
    <w:rPr>
      <w:b/>
    </w:rPr>
  </w:style>
  <w:style w:type="character" w:styleId="16">
    <w:name w:val="page number"/>
    <w:basedOn w:val="14"/>
    <w:qFormat/>
    <w:uiPriority w:val="0"/>
  </w:style>
  <w:style w:type="character" w:styleId="17">
    <w:name w:val="Hyperlink"/>
    <w:basedOn w:val="14"/>
    <w:unhideWhenUsed/>
    <w:qFormat/>
    <w:uiPriority w:val="99"/>
    <w:rPr>
      <w:color w:val="0000FF" w:themeColor="hyperlink"/>
      <w:u w:val="single"/>
    </w:rPr>
  </w:style>
  <w:style w:type="character" w:customStyle="1" w:styleId="18">
    <w:name w:val="Header Char"/>
    <w:basedOn w:val="14"/>
    <w:semiHidden/>
    <w:qFormat/>
    <w:uiPriority w:val="99"/>
    <w:rPr>
      <w:rFonts w:ascii="Times New Roman" w:hAnsi="Times New Roman"/>
      <w:sz w:val="18"/>
      <w:szCs w:val="18"/>
    </w:rPr>
  </w:style>
  <w:style w:type="character" w:customStyle="1" w:styleId="19">
    <w:name w:val="页眉 Char"/>
    <w:link w:val="9"/>
    <w:semiHidden/>
    <w:qFormat/>
    <w:locked/>
    <w:uiPriority w:val="99"/>
    <w:rPr>
      <w:sz w:val="18"/>
    </w:rPr>
  </w:style>
  <w:style w:type="character" w:customStyle="1" w:styleId="20">
    <w:name w:val="Footer Char"/>
    <w:basedOn w:val="14"/>
    <w:semiHidden/>
    <w:qFormat/>
    <w:uiPriority w:val="99"/>
    <w:rPr>
      <w:rFonts w:ascii="Times New Roman" w:hAnsi="Times New Roman"/>
      <w:sz w:val="18"/>
      <w:szCs w:val="18"/>
    </w:rPr>
  </w:style>
  <w:style w:type="character" w:customStyle="1" w:styleId="21">
    <w:name w:val="页脚 Char"/>
    <w:link w:val="8"/>
    <w:qFormat/>
    <w:locked/>
    <w:uiPriority w:val="0"/>
    <w:rPr>
      <w:sz w:val="18"/>
    </w:rPr>
  </w:style>
  <w:style w:type="character" w:customStyle="1" w:styleId="22">
    <w:name w:val="Body Text Char"/>
    <w:basedOn w:val="14"/>
    <w:semiHidden/>
    <w:qFormat/>
    <w:uiPriority w:val="99"/>
    <w:rPr>
      <w:rFonts w:ascii="Times New Roman" w:hAnsi="Times New Roman"/>
      <w:szCs w:val="24"/>
    </w:rPr>
  </w:style>
  <w:style w:type="character" w:customStyle="1" w:styleId="23">
    <w:name w:val="正文文本 Char"/>
    <w:link w:val="5"/>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4"/>
    <w:link w:val="2"/>
    <w:qFormat/>
    <w:uiPriority w:val="9"/>
    <w:rPr>
      <w:rFonts w:ascii="Times New Roman" w:hAnsi="Times New Roman"/>
      <w:b/>
      <w:bCs/>
      <w:kern w:val="44"/>
      <w:sz w:val="44"/>
      <w:szCs w:val="44"/>
    </w:rPr>
  </w:style>
  <w:style w:type="character" w:customStyle="1" w:styleId="27">
    <w:name w:val="标题 2 Char"/>
    <w:basedOn w:val="14"/>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9">
    <w:name w:val="批注框文本 Char"/>
    <w:basedOn w:val="14"/>
    <w:link w:val="7"/>
    <w:semiHidden/>
    <w:qFormat/>
    <w:uiPriority w:val="99"/>
    <w:rPr>
      <w:rFonts w:ascii="Times New Roman" w:hAnsi="Times New Roman"/>
      <w:kern w:val="2"/>
      <w:sz w:val="18"/>
      <w:szCs w:val="18"/>
    </w:rPr>
  </w:style>
  <w:style w:type="character" w:customStyle="1" w:styleId="30">
    <w:name w:val="标题 3 Char"/>
    <w:basedOn w:val="14"/>
    <w:link w:val="4"/>
    <w:qFormat/>
    <w:uiPriority w:val="9"/>
    <w:rPr>
      <w:rFonts w:ascii="Times New Roman" w:hAnsi="Times New Roman"/>
      <w:b/>
      <w:bCs/>
      <w:kern w:val="2"/>
      <w:sz w:val="32"/>
      <w:szCs w:val="32"/>
    </w:rPr>
  </w:style>
  <w:style w:type="paragraph" w:customStyle="1" w:styleId="31">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2">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chart" Target="charts/chart3.xml"/><Relationship Id="rId12" Type="http://schemas.openxmlformats.org/officeDocument/2006/relationships/image" Target="media/image1.png"/><Relationship Id="rId11" Type="http://www.wps.cn/officeDocument/2018/webExtension" Target="webExtensions/webExtension1.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t>图1：收、支决算总计变动情况图(</a:t>
            </a:r>
            <a:r>
              <a:t>万元)</a:t>
            </a:r>
          </a:p>
        </c:rich>
      </c:tx>
      <c:layout>
        <c:manualLayout>
          <c:xMode val="edge"/>
          <c:yMode val="edge"/>
          <c:x val="0.0192056441076561"/>
          <c:y val="0.0308710033076075"/>
        </c:manualLayout>
      </c:layout>
      <c:overlay val="0"/>
      <c:spPr>
        <a:noFill/>
        <a:ln>
          <a:noFill/>
        </a:ln>
        <a:effectLst/>
      </c:spPr>
    </c:title>
    <c:autoTitleDeleted val="0"/>
    <c:plotArea>
      <c:layout>
        <c:manualLayout>
          <c:layoutTarget val="inner"/>
          <c:xMode val="edge"/>
          <c:yMode val="edge"/>
          <c:x val="0.0900312532791253"/>
          <c:y val="0.180255753587582"/>
          <c:w val="0.873734694843312"/>
          <c:h val="0.686161352212451"/>
        </c:manualLayout>
      </c:layout>
      <c:barChart>
        <c:barDir val="col"/>
        <c:grouping val="clustered"/>
        <c:varyColors val="0"/>
        <c:ser>
          <c:idx val="3"/>
          <c:order val="0"/>
          <c:spPr>
            <a:solidFill>
              <a:srgbClr val="9884F4">
                <a:alpha val="70000"/>
              </a:srgbClr>
            </a:solidFill>
            <a:ln>
              <a:noFill/>
            </a:ln>
            <a:effectLst/>
          </c:spPr>
          <c:invertIfNegative val="0"/>
          <c:dLbls>
            <c:dLbl>
              <c:idx val="0"/>
              <c:layout>
                <c:manualLayout>
                  <c:x val="0.00610997963340122"/>
                  <c:y val="-0.013745704467354"/>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319.77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365.44</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[工作簿1]Sheet1!$B$6:$B$7</c:f>
              <c:strCache>
                <c:ptCount val="2"/>
                <c:pt idx="0">
                  <c:v>2019年</c:v>
                </c:pt>
                <c:pt idx="1">
                  <c:v>2020年</c:v>
                </c:pt>
              </c:strCache>
            </c:strRef>
          </c:cat>
          <c:val>
            <c:numRef>
              <c:f>[工作簿1]Sheet1!$C$6:$C$7</c:f>
              <c:numCache>
                <c:formatCode>General</c:formatCode>
                <c:ptCount val="2"/>
                <c:pt idx="0">
                  <c:v>309.83</c:v>
                </c:pt>
                <c:pt idx="1">
                  <c:v>542.38</c:v>
                </c:pt>
              </c:numCache>
            </c:numRef>
          </c:val>
        </c:ser>
        <c:dLbls>
          <c:showLegendKey val="0"/>
          <c:showVal val="1"/>
          <c:showCatName val="0"/>
          <c:showSerName val="0"/>
          <c:showPercent val="0"/>
          <c:showBubbleSize val="0"/>
        </c:dLbls>
        <c:gapWidth val="120"/>
        <c:overlap val="20"/>
        <c:axId val="458737784"/>
        <c:axId val="979236777"/>
      </c:barChart>
      <c:catAx>
        <c:axId val="458737784"/>
        <c:scaling>
          <c:orientation val="minMax"/>
        </c:scaling>
        <c:delete val="0"/>
        <c:axPos val="b"/>
        <c:majorGridlines>
          <c:spPr>
            <a:ln w="3175" cap="flat" cmpd="sng" algn="ctr">
              <a:solidFill>
                <a:schemeClr val="bg1">
                  <a:lumMod val="85000"/>
                </a:schemeClr>
              </a:solidFill>
              <a:round/>
            </a:ln>
            <a:effectLst/>
          </c:spPr>
        </c:majorGridlines>
        <c:minorGridlines>
          <c:spPr>
            <a:ln w="3175" cap="flat" cmpd="sng" algn="ctr">
              <a:solidFill>
                <a:schemeClr val="bg1">
                  <a:lumMod val="85000"/>
                </a:schemeClr>
              </a:solidFill>
              <a:round/>
            </a:ln>
            <a:effectLst/>
          </c:spPr>
        </c:minorGridlines>
        <c:numFmt formatCode="General" sourceLinked="1"/>
        <c:majorTickMark val="in"/>
        <c:minorTickMark val="none"/>
        <c:tickLblPos val="nextTo"/>
        <c:spPr>
          <a:noFill/>
          <a:ln w="317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79236777"/>
        <c:crosses val="autoZero"/>
        <c:auto val="1"/>
        <c:lblAlgn val="ctr"/>
        <c:lblOffset val="100"/>
        <c:noMultiLvlLbl val="0"/>
      </c:catAx>
      <c:valAx>
        <c:axId val="979236777"/>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58737784"/>
        <c:crosses val="autoZero"/>
        <c:crossBetween val="between"/>
      </c:valAx>
      <c:spPr>
        <a:solidFill>
          <a:schemeClr val="bg1"/>
        </a:solidFill>
        <a:ln w="3175">
          <a:noFill/>
        </a:ln>
        <a:effectLst/>
      </c:spPr>
    </c:plotArea>
    <c:legend>
      <c:legendPos val="t"/>
      <c:layout>
        <c:manualLayout>
          <c:xMode val="edge"/>
          <c:yMode val="edge"/>
          <c:x val="0.788919591217808"/>
          <c:y val="0.0485997794928335"/>
          <c:w val="0.179934324906538"/>
          <c:h val="0.0783293543654342"/>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一般财政预算财政拨款收入</c:v>
                </c:pt>
              </c:strCache>
            </c:strRef>
          </c:cat>
          <c:val>
            <c:numRef>
              <c:f>Sheet1!$B$2:$B$5</c:f>
              <c:numCache>
                <c:formatCode>General</c:formatCode>
                <c:ptCount val="4"/>
                <c:pt idx="0">
                  <c:v>365.44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2019年</c:v>
                </c:pt>
              </c:strCache>
            </c:strRef>
          </c:tx>
          <c:spPr>
            <a:solidFill>
              <a:schemeClr val="accent1"/>
            </a:solidFill>
            <a:ln>
              <a:noFill/>
            </a:ln>
            <a:effectLst/>
          </c:spPr>
          <c:invertIfNegative val="0"/>
          <c:dLbls>
            <c:delete val="1"/>
          </c:dLbls>
          <c:cat>
            <c:strRef>
              <c:f>Sheet1!$A$2</c:f>
              <c:strCache>
                <c:ptCount val="1"/>
                <c:pt idx="0">
                  <c:v>财政拨款收入支出决算总体情况</c:v>
                </c:pt>
              </c:strCache>
            </c:strRef>
          </c:cat>
          <c:val>
            <c:numRef>
              <c:f>Sheet1!$B$2</c:f>
              <c:numCache>
                <c:formatCode>General</c:formatCode>
                <c:ptCount val="1"/>
                <c:pt idx="0">
                  <c:v>319.77</c:v>
                </c:pt>
              </c:numCache>
            </c:numRef>
          </c:val>
        </c:ser>
        <c:ser>
          <c:idx val="1"/>
          <c:order val="1"/>
          <c:tx>
            <c:strRef>
              <c:f>Sheet1!$C$1</c:f>
              <c:strCache>
                <c:ptCount val="1"/>
                <c:pt idx="0">
                  <c:v>2020年</c:v>
                </c:pt>
              </c:strCache>
            </c:strRef>
          </c:tx>
          <c:spPr>
            <a:solidFill>
              <a:schemeClr val="accent2"/>
            </a:solidFill>
            <a:ln>
              <a:noFill/>
            </a:ln>
            <a:effectLst/>
          </c:spPr>
          <c:invertIfNegative val="0"/>
          <c:dLbls>
            <c:delete val="1"/>
          </c:dLbls>
          <c:cat>
            <c:strRef>
              <c:f>Sheet1!$A$2</c:f>
              <c:strCache>
                <c:ptCount val="1"/>
                <c:pt idx="0">
                  <c:v>财政拨款收入支出决算总体情况</c:v>
                </c:pt>
              </c:strCache>
            </c:strRef>
          </c:cat>
          <c:val>
            <c:numRef>
              <c:f>Sheet1!$C$2</c:f>
              <c:numCache>
                <c:formatCode>General</c:formatCode>
                <c:ptCount val="1"/>
                <c:pt idx="0">
                  <c:v>365.44</c:v>
                </c:pt>
              </c:numCache>
            </c:numRef>
          </c:val>
        </c:ser>
        <c:dLbls>
          <c:showLegendKey val="0"/>
          <c:showVal val="0"/>
          <c:showCatName val="0"/>
          <c:showSerName val="0"/>
          <c:showPercent val="0"/>
          <c:showBubbleSize val="0"/>
        </c:dLbls>
        <c:gapWidth val="219"/>
        <c:overlap val="-27"/>
        <c:axId val="983447466"/>
        <c:axId val="136948573"/>
      </c:barChart>
      <c:catAx>
        <c:axId val="9834474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948573"/>
        <c:crosses val="autoZero"/>
        <c:auto val="1"/>
        <c:lblAlgn val="ctr"/>
        <c:lblOffset val="100"/>
        <c:noMultiLvlLbl val="0"/>
      </c:catAx>
      <c:valAx>
        <c:axId val="1369485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4474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webExtension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package" Target="../embeddings/Workbook3.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1243067158731941&quot;,&quot;chart_type&quot;:&quot;饼图&quot;,&quot;classifty_type&quot;:[&quot;占比类&quot;],&quot;dataSrc&quot;:{&quot;data&quot;:[[[&quot;支出决算情况&quot;,&quot;占比（%）&quot;],[&quot;基本支出&quot;,&quot;69.83&quot;],[&quot;项目支出&quot;,&quot;30.17&quot;]]],&quot;dataType&quot;:&quot;obejct-table&quot;,&quot;download&quot;:false,&quot;srcType&quot;:&quot;local&quot;,&quot;url&quot;:&quot;&quot;},&quot;function_type&quot;:[&quot;饼图&quot;],&quot;gif&quot;:&quot;//web.docer.wpscdn.cn/docer/ds-page/images/444746070325460997.gif?imageView2/2/w/500/quality/90&quot;,&quot;isFree&quot;:&quot;0&quot;,&quot;label&quot;:&quot;&lt;e-piebasic-chart&gt;&quot;,&quot;projectId&quot;:&quot;444746070325460997&quot;,&quot;props&quot;:{&quot;animation&quot;:{&quot;duration&quot;:&quot;1.5&quot;,&quot;easeStyle&quot;:&quot;&quot;,&quot;endPause&quot;:&quot;1&quot;,&quot;moveOptions&quot;:[&quot;轮子&quot;,&quot;百叶窗&quot;,&quot;折扇&quot;,&quot;径向展开&quot;],&quot;moveStyle&quot;:&quot;轮子&quot;,&quot;startDelay&quot;:&quot;0&quot;,&quot;transition&quot;:true},&quot;axis&quot;:&quot;&quot;,&quot;backgroundColor&quot;:&quot;&quot;,&quot;colors&quot;:{&quot;colorControlers&quot;:[&quot;multiple&quot;,&quot;linear&quot;],&quot;list&quot;:[0,1],&quot;type&quot;:&quot;multiple&quot;},&quot;display&quot;:{&quot;borderColor&quot;:&quot;#FFFFFF&quot;,&quot;borderWidth&quot;:&quot;1&quot;,&quot;cornerRadius&quot;:&quot;0&quot;,&quot;fillOpacity&quot;:&quot;1&quot;,&quot;gapPercentage&quot;:&quot;0&quot;,&quot;innerRadiusRatio&quot;:&quot;0&quot;},&quot;label&quot;:{&quot;contentChoice&quot;:[&quot;名称&quot;,&quot;百分比&quot;],&quot;contentOption&quot;:[&quot;名称&quot;,&quot;百分比&quot;,&quot;数值&quot;],&quot;display&quot;:false,&quot;positionChoice&quot;:&quot;内部水平&quot;,&quot;positionOptions&quot;:[&quot;内部周向&quot;,&quot;内部水平&quot;,&quot;外部&quot;],&quot;suffix&quot;:&quot;&quot;,&quot;textLabel&quot;:{&quot;color&quot;:&quot;#545454&quot;,&quot;fontFamily&quot;:&quot;黑体&quot;,&quot;fontSize&quot;:&quot;14&quot;}},&quot;legend&quot;:{&quot;color&quot;:[&quot;#545454&quot;],&quot;fontFamily&quot;:[&quot;黑体&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true,&quot;name&quot;:&quot;名称&quot;},{&quot;allowType&quot;:[&quot;number&quot;],&quot;configurable&quot;:false,&quot;function&quot;:&quot;vCol&quot;,&quot;index&quot;:1,&quot;isLegend&quot;:false,&quot;name&quot;:&quot;值&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c6c6c6&quot;,&quot;shadowOpacity&quot;:&quot;100&quot;,&quot;shadowRadius&quot;:&quot;3&quot;},&quot;size&quot;:{&quot;height&quot;:&quot;470&quot;,&quot;ratio&quot;:&quot;&quot;,&quot;rotate&quot;:0,&quot;width&quot;:&quot;600&quot;},&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黑体&quot;,&quot;fontSize&quot;:&quot;36&quot;,&quot;lineHeight&quot;:&quot;10&quot;,&quot;show&quot;:false,&quot;text&quot;:&quot;中国网红受教育水平&quot;,&quot;totalHeight&quot;:&quot;39&quot;,&quot;xPosition&quot;:&quot;left&quot;,&quot;yPosition&quot;:&quot;top&quot;},&quot;tooltip&quot;:true,&quot;unitDisplay&quot;:{&quot;bottomLineHeight&quot;:&quot;15&quot;,&quot;color&quot;:&quot;#878787&quot;,&quot;fontFamily&quot;:&quot;黑体&quot;,&quot;fontSize&quot;:&quot;14&quot;,&quot;show&quot;:false,&quot;text&quot;:&quot;单位：%&quot;,&quot;xPosition&quot;:&quot;left&quot;,&quot;yPosition&quot;:&quot;top&quot;},&quot;watermarkDisplay&quot;:{&quot;imgHeight&quot;:&quot;80&quot;,&quot;imgUrl&quot;:&quot;https://ss1.dydata.io/newchartWatermark.png&quot;,&quot;imgWidth&quot;:&quot;80&quot;,&quot;show&quot;:false}},&quot;templateId&quot;:&quot;444746070325460997&quot;,&quot;templateSwitch&quot;:&quot;key-value&quot;,&quot;theme&quot;:{&quot;axis&quot;:{&quot;color&quot;:&quot;#a1a1a1&quot;},&quot;backgroundColor&quot;:&quot;#FFFFFF&quot;,&quot;colors&quot;:[&quot;#5AAEF3&quot;,&quot;#62D9AD&quot;,&quot;#5B6E96&quot;,&quot;#a8dffa&quot;,&quot;#ffdc4c&quot;,&quot;#FF974C&quot;,&quot;#E65A56&quot;,&quot;#6D61E4&quot;,&quot;#4A6FE2&quot;,&quot;#6D9AE7&quot;,&quot;#23C2DB&quot;,&quot;#D4EC59&quot;,&quot;#FFE88E&quot;,&quot;#FEB64D&quot;,&quot;#FB6E6C&quot;],&quot;fonts&quot;:{&quot;accessoryColor&quot;:&quot;#878787&quot;,&quot;color&quot;:&quot;#545454&quot;,&quot;fontFamily&quot;:&quot;黑体&quot;,&quot;fontSize&quot;:&quot;14&quot;},&quot;grid&quot;:{&quot;color&quot;:&quot;#ccc&quot;},&quot;name&quot;:&quot;默认主题&quot;,&quot;price&quot;:&quot;0.0&quot;,&quot;shapeColor&quot;:1,&quot;themeId&quot;:&quot;18&quot;,&quot;titleFont&quot;:{&quot;color&quot;:&quot;#4c4c4c&quot;,&quot;fontFamily&quot;:&quot;黑体&quot;,&quot;fontSize&quot;:&quot;36&quot;}},&quot;thumb&quot;:&quot;//web.docer.wpscdn.cn/docer/ds-page/images/E8hjxBcbsDqAkMBMmTgoN2.D0C288B1.jpg?imageView2/2/w/500/quality/90&quot;,&quot;title&quot;:&quot;基础饼图&quot;,&quot;type&quot;:&quot;chart&quot;},&quot;dschart_id&quot;:&quot;444746070325460997&quot;}"/>
    <wpswe:property key="isUseCommonErrorPage" value="false"/>
    <wpswe:property key="loadingImage" value="res:/icons/DsWebShapeDefaultPage.svg"/>
  </wpswe:properties>
  <wpswe:watchingCache>
    <wpswe:linkPath>C:/Users/Administrator/AppData/Local/Temp/wps.RKChwa/WebExtensionDataSource in Wps.xlsx</wpswe:linkPath>
  </wpswe:watchingCache>
  <wpswe:snapshot xmlns:r="http://schemas.openxmlformats.org/officeDocument/2006/relationships" r:embed="rId2"/>
  <wpswe:externalData xmlns:r="http://schemas.openxmlformats.org/officeDocument/2006/relationships" r:id="rId1"/>
  <wpswe:url>https://clientweb.docer.wps.cn/ds/1.0.0/webShapeView?id=50&amp;dschart_id=444746070325460997&amp;from=insert_onlinechart&amp;productEntry=dropwin&amp;sceneEntry=docrec&amp;flag=1003</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F520B-FF5F-45A3-8B94-2BA12E7E5EF1}">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24</Pages>
  <Words>7222</Words>
  <Characters>7799</Characters>
  <Lines>8</Lines>
  <Paragraphs>16</Paragraphs>
  <TotalTime>3</TotalTime>
  <ScaleCrop>false</ScaleCrop>
  <LinksUpToDate>false</LinksUpToDate>
  <CharactersWithSpaces>7832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邱礼逵</cp:lastModifiedBy>
  <cp:lastPrinted>2021-11-29T07:27:00Z</cp:lastPrinted>
  <dcterms:modified xsi:type="dcterms:W3CDTF">2022-07-05T03:45:25Z</dcterms:modified>
  <dc:title>四川省***</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425689915_embed</vt:lpwstr>
  </property>
  <property fmtid="{D5CDD505-2E9C-101B-9397-08002B2CF9AE}" pid="4" name="ICV">
    <vt:lpwstr>B1C1F750C81B4F7A9231EAECB42599B3</vt:lpwstr>
  </property>
</Properties>
</file>